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7B" w:rsidRDefault="0031697B" w:rsidP="0031697B">
      <w:pPr>
        <w:spacing w:after="216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№ 2 </w:t>
      </w:r>
    </w:p>
    <w:p w:rsidR="0031697B" w:rsidRDefault="0031697B" w:rsidP="0031697B">
      <w:pPr>
        <w:spacing w:after="21"/>
        <w:ind w:left="67"/>
        <w:jc w:val="right"/>
      </w:pPr>
      <w:r>
        <w:rPr>
          <w:rFonts w:ascii="Times New Roman" w:eastAsia="Times New Roman" w:hAnsi="Times New Roman" w:cs="Times New Roman"/>
        </w:rPr>
        <w:t xml:space="preserve">    </w:t>
      </w:r>
      <w:r w:rsidRPr="001A595E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3E1512">
        <w:rPr>
          <w:rFonts w:ascii="Times New Roman" w:eastAsia="Times New Roman" w:hAnsi="Times New Roman" w:cs="Times New Roman"/>
          <w:sz w:val="24"/>
        </w:rPr>
        <w:t>договору содержания</w:t>
      </w:r>
      <w:r>
        <w:rPr>
          <w:rFonts w:ascii="Times New Roman" w:eastAsia="Times New Roman" w:hAnsi="Times New Roman" w:cs="Times New Roman"/>
          <w:sz w:val="24"/>
        </w:rPr>
        <w:t xml:space="preserve">  и  ремонта</w:t>
      </w:r>
      <w:r w:rsidRPr="001A595E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Pr="001A595E">
        <w:rPr>
          <w:rFonts w:ascii="Times New Roman" w:eastAsia="Times New Roman" w:hAnsi="Times New Roman" w:cs="Times New Roman"/>
          <w:sz w:val="24"/>
        </w:rPr>
        <w:t xml:space="preserve"> общего им</w:t>
      </w:r>
      <w:r>
        <w:rPr>
          <w:rFonts w:ascii="Times New Roman" w:eastAsia="Times New Roman" w:hAnsi="Times New Roman" w:cs="Times New Roman"/>
          <w:sz w:val="24"/>
        </w:rPr>
        <w:t xml:space="preserve">ущества в  МКД  № ____                                                                                                               </w:t>
      </w:r>
    </w:p>
    <w:p w:rsidR="0031697B" w:rsidRDefault="0031697B" w:rsidP="0031697B">
      <w:pPr>
        <w:spacing w:after="123"/>
        <w:ind w:left="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67F0E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951FA4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bookmarkStart w:id="0" w:name="_GoBack"/>
      <w:bookmarkEnd w:id="0"/>
    </w:p>
    <w:p w:rsidR="0031697B" w:rsidRDefault="0031697B" w:rsidP="000F7406">
      <w:pPr>
        <w:spacing w:after="0" w:line="240" w:lineRule="auto"/>
        <w:ind w:left="1934" w:right="1348"/>
      </w:pPr>
      <w:r>
        <w:rPr>
          <w:rFonts w:ascii="Times New Roman" w:eastAsia="Times New Roman" w:hAnsi="Times New Roman" w:cs="Times New Roman"/>
          <w:b/>
          <w:sz w:val="28"/>
        </w:rPr>
        <w:t xml:space="preserve">Порядок обработки персональных данных </w:t>
      </w:r>
      <w:r w:rsidR="003E1512">
        <w:rPr>
          <w:rFonts w:ascii="Times New Roman" w:eastAsia="Times New Roman" w:hAnsi="Times New Roman" w:cs="Times New Roman"/>
          <w:b/>
          <w:sz w:val="28"/>
        </w:rPr>
        <w:t>граждан для</w:t>
      </w:r>
      <w:r>
        <w:rPr>
          <w:rFonts w:ascii="Times New Roman" w:eastAsia="Times New Roman" w:hAnsi="Times New Roman" w:cs="Times New Roman"/>
          <w:b/>
          <w:sz w:val="28"/>
        </w:rPr>
        <w:t xml:space="preserve"> целей исполнения Договора </w:t>
      </w:r>
    </w:p>
    <w:p w:rsidR="0031697B" w:rsidRDefault="0031697B" w:rsidP="0031697B">
      <w:pPr>
        <w:spacing w:after="66"/>
        <w:ind w:left="5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1697B" w:rsidRDefault="0031697B" w:rsidP="0031697B">
      <w:pPr>
        <w:numPr>
          <w:ilvl w:val="0"/>
          <w:numId w:val="1"/>
        </w:numPr>
        <w:spacing w:after="77"/>
        <w:ind w:hanging="283"/>
      </w:pPr>
      <w:r>
        <w:rPr>
          <w:rFonts w:ascii="Times New Roman" w:eastAsia="Times New Roman" w:hAnsi="Times New Roman" w:cs="Times New Roman"/>
          <w:b/>
          <w:sz w:val="24"/>
        </w:rPr>
        <w:t xml:space="preserve">Цели обработки персональных данных граждан: </w:t>
      </w:r>
    </w:p>
    <w:p w:rsidR="0031697B" w:rsidRDefault="0031697B" w:rsidP="0031697B">
      <w:pPr>
        <w:spacing w:after="2" w:line="331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4"/>
        </w:rPr>
        <w:t>Целями обработки персональных данных, являются исполнение ТСЖ «Светлое» обязательств по Договору, включающих в себя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функции, осуществляемые в отношении граждан - нанимателей и собственников помещений и связанные с: </w:t>
      </w:r>
    </w:p>
    <w:p w:rsidR="0031697B" w:rsidRDefault="00E244C7" w:rsidP="00E244C7">
      <w:pPr>
        <w:spacing w:after="2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492015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1697B">
        <w:rPr>
          <w:rFonts w:ascii="Times New Roman" w:eastAsia="Times New Roman" w:hAnsi="Times New Roman" w:cs="Times New Roman"/>
          <w:sz w:val="24"/>
        </w:rPr>
        <w:t>расчетами и начислениями платы за содержание и ремонт жилого помещения, платы за коммунальные услуги и иные у</w:t>
      </w:r>
      <w:r w:rsidR="000F7406">
        <w:rPr>
          <w:rFonts w:ascii="Times New Roman" w:eastAsia="Times New Roman" w:hAnsi="Times New Roman" w:cs="Times New Roman"/>
          <w:sz w:val="24"/>
        </w:rPr>
        <w:t>слуги, оказываемые по Договору;</w:t>
      </w:r>
    </w:p>
    <w:p w:rsidR="0031697B" w:rsidRDefault="00E244C7" w:rsidP="00E244C7">
      <w:pPr>
        <w:spacing w:after="67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492015">
        <w:rPr>
          <w:rFonts w:ascii="Times New Roman" w:eastAsia="Times New Roman" w:hAnsi="Times New Roman" w:cs="Times New Roman"/>
          <w:sz w:val="24"/>
        </w:rPr>
        <w:t xml:space="preserve">-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1697B">
        <w:rPr>
          <w:rFonts w:ascii="Times New Roman" w:eastAsia="Times New Roman" w:hAnsi="Times New Roman" w:cs="Times New Roman"/>
          <w:sz w:val="24"/>
        </w:rPr>
        <w:t>подготовкой   и доставкой таким пот</w:t>
      </w:r>
      <w:r w:rsidR="000F7406">
        <w:rPr>
          <w:rFonts w:ascii="Times New Roman" w:eastAsia="Times New Roman" w:hAnsi="Times New Roman" w:cs="Times New Roman"/>
          <w:sz w:val="24"/>
        </w:rPr>
        <w:t>ребителям платежных документов;</w:t>
      </w:r>
    </w:p>
    <w:p w:rsidR="0031697B" w:rsidRDefault="00E244C7" w:rsidP="00E244C7">
      <w:pPr>
        <w:spacing w:after="2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- </w:t>
      </w:r>
      <w:r w:rsidR="0031697B">
        <w:rPr>
          <w:rFonts w:ascii="Times New Roman" w:eastAsia="Times New Roman" w:hAnsi="Times New Roman" w:cs="Times New Roman"/>
          <w:sz w:val="24"/>
        </w:rPr>
        <w:t xml:space="preserve">приемом таких потребителей при их обращении для проведения   проверки правильности исчисления платежей и выдачи документов, содержащих правильно начисленные платежи, </w:t>
      </w:r>
    </w:p>
    <w:p w:rsidR="0031697B" w:rsidRDefault="00E244C7" w:rsidP="00E244C7">
      <w:pPr>
        <w:spacing w:after="2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492015">
        <w:rPr>
          <w:rFonts w:ascii="Times New Roman" w:eastAsia="Times New Roman" w:hAnsi="Times New Roman" w:cs="Times New Roman"/>
          <w:sz w:val="24"/>
        </w:rPr>
        <w:t xml:space="preserve">- </w:t>
      </w:r>
      <w:r w:rsidR="0031697B">
        <w:rPr>
          <w:rFonts w:ascii="Times New Roman" w:eastAsia="Times New Roman" w:hAnsi="Times New Roman" w:cs="Times New Roman"/>
          <w:sz w:val="24"/>
        </w:rPr>
        <w:t xml:space="preserve">ведением досудебной работы, направленной на снижение размера задолженности потребителей за услуги и работы, оказываемые (выполняемые) по Договору, а также со взысканием задолженности с потребителей в принудительном (судебном) порядке. </w:t>
      </w:r>
    </w:p>
    <w:p w:rsidR="0031697B" w:rsidRDefault="0031697B" w:rsidP="0031697B">
      <w:pPr>
        <w:spacing w:after="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697B" w:rsidRDefault="0031697B" w:rsidP="0031697B">
      <w:pPr>
        <w:numPr>
          <w:ilvl w:val="0"/>
          <w:numId w:val="1"/>
        </w:numPr>
        <w:spacing w:after="0"/>
        <w:ind w:hanging="283"/>
      </w:pPr>
      <w:r>
        <w:rPr>
          <w:rFonts w:ascii="Times New Roman" w:eastAsia="Times New Roman" w:hAnsi="Times New Roman" w:cs="Times New Roman"/>
          <w:b/>
          <w:sz w:val="24"/>
        </w:rPr>
        <w:t xml:space="preserve">Операторы по обработке персональных данных </w:t>
      </w:r>
    </w:p>
    <w:p w:rsidR="0031697B" w:rsidRDefault="0031697B" w:rsidP="0031697B">
      <w:pPr>
        <w:spacing w:after="2" w:line="271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Операторами по обработке персональных данных граждан для целей исполнения Договора </w:t>
      </w:r>
      <w:r w:rsidR="00632A87">
        <w:rPr>
          <w:rFonts w:ascii="Times New Roman" w:eastAsia="Times New Roman" w:hAnsi="Times New Roman" w:cs="Times New Roman"/>
          <w:sz w:val="24"/>
        </w:rPr>
        <w:t>являются: ТСЖ и Представитель ТСЖ</w:t>
      </w:r>
      <w:r>
        <w:rPr>
          <w:rFonts w:ascii="Times New Roman" w:eastAsia="Times New Roman" w:hAnsi="Times New Roman" w:cs="Times New Roman"/>
          <w:sz w:val="24"/>
        </w:rPr>
        <w:t xml:space="preserve">  по расчетам с потребителями. </w:t>
      </w:r>
    </w:p>
    <w:p w:rsidR="0031697B" w:rsidRDefault="0031697B" w:rsidP="0031697B">
      <w:pPr>
        <w:spacing w:after="2" w:line="271" w:lineRule="auto"/>
        <w:ind w:left="-1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Представитель   </w:t>
      </w:r>
      <w:r w:rsidR="00632A87">
        <w:rPr>
          <w:rFonts w:ascii="Times New Roman" w:eastAsia="Times New Roman" w:hAnsi="Times New Roman" w:cs="Times New Roman"/>
          <w:sz w:val="24"/>
        </w:rPr>
        <w:t>ТСЖ по</w:t>
      </w:r>
      <w:r>
        <w:rPr>
          <w:rFonts w:ascii="Times New Roman" w:eastAsia="Times New Roman" w:hAnsi="Times New Roman" w:cs="Times New Roman"/>
          <w:sz w:val="24"/>
        </w:rPr>
        <w:t xml:space="preserve"> расчетам с потребителями осуществляет обработку персональных данных граждан по поручению   </w:t>
      </w:r>
      <w:r w:rsidR="00632A87">
        <w:rPr>
          <w:rFonts w:ascii="Times New Roman" w:eastAsia="Times New Roman" w:hAnsi="Times New Roman" w:cs="Times New Roman"/>
          <w:sz w:val="24"/>
        </w:rPr>
        <w:t>ТСЖ при</w:t>
      </w:r>
      <w:r>
        <w:rPr>
          <w:rFonts w:ascii="Times New Roman" w:eastAsia="Times New Roman" w:hAnsi="Times New Roman" w:cs="Times New Roman"/>
          <w:sz w:val="24"/>
        </w:rPr>
        <w:t xml:space="preserve"> получении ею согласия граждан </w:t>
      </w:r>
      <w:r w:rsidR="00E244C7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– субъектов персональных данных на передачу их персональных данных указанному Представителю. </w:t>
      </w:r>
    </w:p>
    <w:p w:rsidR="0031697B" w:rsidRDefault="0031697B" w:rsidP="0031697B">
      <w:pPr>
        <w:spacing w:after="2" w:line="271" w:lineRule="auto"/>
        <w:ind w:left="-15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31697B" w:rsidRDefault="0031697B" w:rsidP="0031697B">
      <w:pPr>
        <w:spacing w:after="67" w:line="271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  </w:t>
      </w:r>
      <w:r w:rsidRPr="003F2D14">
        <w:rPr>
          <w:rFonts w:ascii="Times New Roman" w:eastAsia="Times New Roman" w:hAnsi="Times New Roman" w:cs="Times New Roman"/>
          <w:b/>
          <w:sz w:val="24"/>
        </w:rPr>
        <w:t>Порядок получения согласия граждан – субъектов персональных данных на обработку их персональных данных Предст</w:t>
      </w:r>
      <w:r>
        <w:rPr>
          <w:rFonts w:ascii="Times New Roman" w:eastAsia="Times New Roman" w:hAnsi="Times New Roman" w:cs="Times New Roman"/>
          <w:b/>
          <w:sz w:val="24"/>
        </w:rPr>
        <w:t>авителем ТСЖ.</w:t>
      </w:r>
    </w:p>
    <w:p w:rsidR="0031697B" w:rsidRDefault="0031697B" w:rsidP="0031697B">
      <w:pPr>
        <w:spacing w:after="67" w:line="271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Pr="003F2D14">
        <w:rPr>
          <w:rFonts w:ascii="Times New Roman" w:eastAsia="Times New Roman" w:hAnsi="Times New Roman" w:cs="Times New Roman"/>
          <w:sz w:val="24"/>
        </w:rPr>
        <w:t>Согласие на обработку персональных данных на условиях, указанных в настоящем Приложении, считается полу</w:t>
      </w:r>
      <w:r>
        <w:rPr>
          <w:rFonts w:ascii="Times New Roman" w:eastAsia="Times New Roman" w:hAnsi="Times New Roman" w:cs="Times New Roman"/>
          <w:sz w:val="24"/>
        </w:rPr>
        <w:t xml:space="preserve">ченным   ТСЖ  </w:t>
      </w:r>
      <w:r w:rsidRPr="003F2D14">
        <w:rPr>
          <w:rFonts w:ascii="Times New Roman" w:eastAsia="Times New Roman" w:hAnsi="Times New Roman" w:cs="Times New Roman"/>
          <w:sz w:val="24"/>
        </w:rPr>
        <w:t>с момента выставления потребителю (субъекту персональных данных) первого платежного документа, для внесения платы по Договору Предст</w:t>
      </w:r>
      <w:r>
        <w:rPr>
          <w:rFonts w:ascii="Times New Roman" w:eastAsia="Times New Roman" w:hAnsi="Times New Roman" w:cs="Times New Roman"/>
          <w:sz w:val="24"/>
        </w:rPr>
        <w:t xml:space="preserve">авителем   ТСЖ  </w:t>
      </w:r>
      <w:r w:rsidRPr="003F2D14">
        <w:rPr>
          <w:rFonts w:ascii="Times New Roman" w:eastAsia="Times New Roman" w:hAnsi="Times New Roman" w:cs="Times New Roman"/>
          <w:sz w:val="24"/>
        </w:rPr>
        <w:t xml:space="preserve"> по расчетам с потребителями,  до момента по</w:t>
      </w:r>
      <w:r>
        <w:rPr>
          <w:rFonts w:ascii="Times New Roman" w:eastAsia="Times New Roman" w:hAnsi="Times New Roman" w:cs="Times New Roman"/>
          <w:sz w:val="24"/>
        </w:rPr>
        <w:t xml:space="preserve">лучения ТСЖ </w:t>
      </w:r>
      <w:r w:rsidRPr="003F2D14">
        <w:rPr>
          <w:rFonts w:ascii="Times New Roman" w:eastAsia="Times New Roman" w:hAnsi="Times New Roman" w:cs="Times New Roman"/>
          <w:sz w:val="24"/>
        </w:rPr>
        <w:t xml:space="preserve"> письменного обращения потребителя (субъекта персональных данных), выражающего несогласие на обработку его персональных данных лицом, осуществляющим обработку персональных данных по п</w:t>
      </w:r>
      <w:r>
        <w:rPr>
          <w:rFonts w:ascii="Times New Roman" w:eastAsia="Times New Roman" w:hAnsi="Times New Roman" w:cs="Times New Roman"/>
          <w:sz w:val="24"/>
        </w:rPr>
        <w:t>оручению  ТСЖ.</w:t>
      </w:r>
    </w:p>
    <w:p w:rsidR="0031697B" w:rsidRDefault="0031697B" w:rsidP="0031697B">
      <w:pPr>
        <w:spacing w:after="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В случае получения указанного обращения, ТСЖ </w:t>
      </w:r>
      <w:r w:rsidR="000660D7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обеспечивает </w:t>
      </w:r>
      <w:r w:rsidR="000660D7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обезличивание персональных данных такого субъекта персональных данных, для целей их дальнейшей обработки лицом, осуществляющим обработку персональных данных по поручению ТСЖ.</w:t>
      </w:r>
    </w:p>
    <w:p w:rsidR="0031697B" w:rsidRDefault="0031697B" w:rsidP="0031697B">
      <w:pPr>
        <w:spacing w:after="0" w:line="336" w:lineRule="auto"/>
      </w:pPr>
    </w:p>
    <w:p w:rsidR="0031697B" w:rsidRDefault="0031697B" w:rsidP="0031697B">
      <w:pPr>
        <w:spacing w:after="0" w:line="33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   Перечень персональных данных (далее – данных), обработка которых осуществляется в целях, указанных в п.1 настоящего Приложения:  </w:t>
      </w:r>
    </w:p>
    <w:p w:rsidR="0031697B" w:rsidRPr="0031697B" w:rsidRDefault="0031697B" w:rsidP="00A73082">
      <w:pPr>
        <w:numPr>
          <w:ilvl w:val="1"/>
          <w:numId w:val="1"/>
        </w:numPr>
        <w:spacing w:after="2" w:line="276" w:lineRule="auto"/>
        <w:ind w:right="171" w:hanging="319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фамилия, имя, отчество граждан и родственные отношения; </w:t>
      </w:r>
    </w:p>
    <w:p w:rsidR="0031697B" w:rsidRDefault="0031697B" w:rsidP="00A73082">
      <w:pPr>
        <w:numPr>
          <w:ilvl w:val="1"/>
          <w:numId w:val="1"/>
        </w:numPr>
        <w:spacing w:after="2" w:line="276" w:lineRule="auto"/>
        <w:ind w:right="171" w:hanging="31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адрес;                                                                   </w:t>
      </w:r>
    </w:p>
    <w:p w:rsidR="0031697B" w:rsidRDefault="0031697B" w:rsidP="00A73082">
      <w:pPr>
        <w:numPr>
          <w:ilvl w:val="1"/>
          <w:numId w:val="4"/>
        </w:numPr>
        <w:spacing w:after="66" w:line="276" w:lineRule="auto"/>
        <w:ind w:right="3804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площадь принадлежащего жилого помещения; </w:t>
      </w:r>
    </w:p>
    <w:p w:rsidR="0031697B" w:rsidRPr="0031697B" w:rsidRDefault="0031697B" w:rsidP="00A73082">
      <w:pPr>
        <w:numPr>
          <w:ilvl w:val="1"/>
          <w:numId w:val="4"/>
        </w:numPr>
        <w:spacing w:after="2" w:line="276" w:lineRule="auto"/>
        <w:ind w:right="3804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право владения помещением (собственник, наниматель); </w:t>
      </w:r>
    </w:p>
    <w:p w:rsidR="0031697B" w:rsidRDefault="0031697B" w:rsidP="00A73082">
      <w:pPr>
        <w:spacing w:after="2" w:line="276" w:lineRule="auto"/>
        <w:ind w:left="283" w:right="380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5) паспортные данные собственников помещений. </w:t>
      </w:r>
    </w:p>
    <w:p w:rsidR="0031697B" w:rsidRDefault="0031697B" w:rsidP="0031697B">
      <w:pPr>
        <w:spacing w:after="5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1697B" w:rsidRDefault="003922DB" w:rsidP="003922DB">
      <w:pPr>
        <w:spacing w:after="77"/>
      </w:pPr>
      <w:r>
        <w:rPr>
          <w:rFonts w:ascii="Times New Roman" w:eastAsia="Times New Roman" w:hAnsi="Times New Roman" w:cs="Times New Roman"/>
          <w:b/>
          <w:sz w:val="24"/>
        </w:rPr>
        <w:t xml:space="preserve">5. </w:t>
      </w:r>
      <w:r w:rsidR="0031697B">
        <w:rPr>
          <w:rFonts w:ascii="Times New Roman" w:eastAsia="Times New Roman" w:hAnsi="Times New Roman" w:cs="Times New Roman"/>
          <w:b/>
          <w:sz w:val="24"/>
        </w:rPr>
        <w:t xml:space="preserve">Перечень действий с персональными данными:  </w:t>
      </w:r>
    </w:p>
    <w:p w:rsidR="0031697B" w:rsidRDefault="0031697B" w:rsidP="0031697B">
      <w:pPr>
        <w:numPr>
          <w:ilvl w:val="1"/>
          <w:numId w:val="1"/>
        </w:numPr>
        <w:spacing w:after="53" w:line="271" w:lineRule="auto"/>
        <w:ind w:right="171" w:hanging="31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сбор данных, указанных в п.4 настоящего Приложения; </w:t>
      </w:r>
    </w:p>
    <w:p w:rsidR="0031697B" w:rsidRDefault="0031697B" w:rsidP="0031697B">
      <w:pPr>
        <w:numPr>
          <w:ilvl w:val="1"/>
          <w:numId w:val="1"/>
        </w:numPr>
        <w:spacing w:after="61" w:line="271" w:lineRule="auto"/>
        <w:ind w:right="171" w:hanging="31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хранение данных; </w:t>
      </w:r>
    </w:p>
    <w:p w:rsidR="0031697B" w:rsidRPr="0031697B" w:rsidRDefault="0031697B" w:rsidP="0031697B">
      <w:pPr>
        <w:numPr>
          <w:ilvl w:val="1"/>
          <w:numId w:val="1"/>
        </w:numPr>
        <w:spacing w:after="2" w:line="322" w:lineRule="auto"/>
        <w:ind w:right="171" w:hanging="319"/>
        <w:jc w:val="both"/>
      </w:pPr>
      <w:r>
        <w:rPr>
          <w:rFonts w:ascii="Times New Roman" w:eastAsia="Times New Roman" w:hAnsi="Times New Roman" w:cs="Times New Roman"/>
          <w:sz w:val="24"/>
        </w:rPr>
        <w:t>передача данных Представителю   ТСЖ</w:t>
      </w:r>
      <w:r w:rsidR="000660D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по расчетам с потребителями;</w:t>
      </w:r>
    </w:p>
    <w:p w:rsidR="0031697B" w:rsidRDefault="0031697B" w:rsidP="0031697B">
      <w:pPr>
        <w:numPr>
          <w:ilvl w:val="1"/>
          <w:numId w:val="1"/>
        </w:numPr>
        <w:spacing w:after="2" w:line="322" w:lineRule="auto"/>
        <w:ind w:right="171" w:hanging="31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передача данных контролирующим органам; </w:t>
      </w:r>
    </w:p>
    <w:p w:rsidR="0031697B" w:rsidRDefault="0031697B" w:rsidP="0031697B">
      <w:pPr>
        <w:spacing w:after="2" w:line="327" w:lineRule="auto"/>
        <w:ind w:left="29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5) передача данных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ресурсоснабжающим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организациям в случаях, допускаемых актами жилищного законодательства и Договором. </w:t>
      </w:r>
    </w:p>
    <w:p w:rsidR="0031697B" w:rsidRDefault="0031697B" w:rsidP="0031697B">
      <w:pPr>
        <w:spacing w:after="6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1697B" w:rsidRDefault="003922DB" w:rsidP="003922DB">
      <w:pPr>
        <w:spacing w:after="77"/>
      </w:pPr>
      <w:r>
        <w:rPr>
          <w:rFonts w:ascii="Times New Roman" w:eastAsia="Times New Roman" w:hAnsi="Times New Roman" w:cs="Times New Roman"/>
          <w:b/>
          <w:sz w:val="24"/>
        </w:rPr>
        <w:t xml:space="preserve">6. </w:t>
      </w:r>
      <w:r w:rsidR="0031697B">
        <w:rPr>
          <w:rFonts w:ascii="Times New Roman" w:eastAsia="Times New Roman" w:hAnsi="Times New Roman" w:cs="Times New Roman"/>
          <w:b/>
          <w:sz w:val="24"/>
        </w:rPr>
        <w:t xml:space="preserve">Общее описание используемых способов обработки персональных данных:  </w:t>
      </w:r>
    </w:p>
    <w:p w:rsidR="0031697B" w:rsidRDefault="00AA4537" w:rsidP="00AA4537">
      <w:pPr>
        <w:spacing w:after="79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1) с использованием средств автоматизации, </w:t>
      </w:r>
      <w:r>
        <w:rPr>
          <w:rFonts w:ascii="Times New Roman" w:eastAsia="Times New Roman" w:hAnsi="Times New Roman" w:cs="Times New Roman"/>
          <w:sz w:val="24"/>
        </w:rPr>
        <w:tab/>
        <w:t xml:space="preserve">в том </w:t>
      </w:r>
      <w:r>
        <w:rPr>
          <w:rFonts w:ascii="Times New Roman" w:eastAsia="Times New Roman" w:hAnsi="Times New Roman" w:cs="Times New Roman"/>
          <w:sz w:val="24"/>
        </w:rPr>
        <w:tab/>
        <w:t xml:space="preserve">числе </w:t>
      </w:r>
      <w:r>
        <w:rPr>
          <w:rFonts w:ascii="Times New Roman" w:eastAsia="Times New Roman" w:hAnsi="Times New Roman" w:cs="Times New Roman"/>
          <w:sz w:val="24"/>
        </w:rPr>
        <w:tab/>
        <w:t xml:space="preserve">в </w:t>
      </w:r>
      <w:r w:rsidR="0031697B">
        <w:rPr>
          <w:rFonts w:ascii="Times New Roman" w:eastAsia="Times New Roman" w:hAnsi="Times New Roman" w:cs="Times New Roman"/>
          <w:sz w:val="24"/>
        </w:rPr>
        <w:t>информационно-</w:t>
      </w:r>
      <w:r>
        <w:rPr>
          <w:rFonts w:ascii="Times New Roman" w:eastAsia="Times New Roman" w:hAnsi="Times New Roman" w:cs="Times New Roman"/>
          <w:sz w:val="24"/>
        </w:rPr>
        <w:t xml:space="preserve"> телекоммуникационных </w:t>
      </w:r>
      <w:r w:rsidR="00632A87">
        <w:rPr>
          <w:rFonts w:ascii="Times New Roman" w:eastAsia="Times New Roman" w:hAnsi="Times New Roman" w:cs="Times New Roman"/>
          <w:sz w:val="24"/>
        </w:rPr>
        <w:t>сетях;</w:t>
      </w:r>
    </w:p>
    <w:p w:rsidR="0031697B" w:rsidRDefault="00AA4537" w:rsidP="00AA4537">
      <w:pPr>
        <w:spacing w:after="2" w:line="271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2) </w:t>
      </w:r>
      <w:r w:rsidR="0031697B">
        <w:rPr>
          <w:rFonts w:ascii="Times New Roman" w:eastAsia="Times New Roman" w:hAnsi="Times New Roman" w:cs="Times New Roman"/>
          <w:sz w:val="24"/>
        </w:rPr>
        <w:t xml:space="preserve">без использования средств автоматизации (при таком способе обработки персональных данных действия по использованию, уточнению, распространению, уничтожению персональных данных в отношении каждого </w:t>
      </w:r>
      <w:r w:rsidR="00632A87">
        <w:rPr>
          <w:rFonts w:ascii="Times New Roman" w:eastAsia="Times New Roman" w:hAnsi="Times New Roman" w:cs="Times New Roman"/>
          <w:sz w:val="24"/>
        </w:rPr>
        <w:t>из субъектов,</w:t>
      </w:r>
      <w:r w:rsidR="0031697B">
        <w:rPr>
          <w:rFonts w:ascii="Times New Roman" w:eastAsia="Times New Roman" w:hAnsi="Times New Roman" w:cs="Times New Roman"/>
          <w:sz w:val="24"/>
        </w:rPr>
        <w:t xml:space="preserve"> персональных данных, осуществляются при непосредственном участии человека). </w:t>
      </w:r>
    </w:p>
    <w:p w:rsidR="0031697B" w:rsidRDefault="0031697B" w:rsidP="00AA4537">
      <w:pPr>
        <w:spacing w:after="109"/>
      </w:pPr>
      <w:r>
        <w:rPr>
          <w:rFonts w:ascii="Times New Roman" w:eastAsia="Times New Roman" w:hAnsi="Times New Roman" w:cs="Times New Roman"/>
          <w:sz w:val="20"/>
        </w:rPr>
        <w:t xml:space="preserve">С учетом требований Постановления Правительства РФ от 15.09.2008 № 687 "Об утверждении Положения </w:t>
      </w:r>
      <w:r w:rsidR="00632A87">
        <w:rPr>
          <w:rFonts w:ascii="Times New Roman" w:eastAsia="Times New Roman" w:hAnsi="Times New Roman" w:cs="Times New Roman"/>
          <w:sz w:val="20"/>
        </w:rPr>
        <w:t>об особенностях</w:t>
      </w:r>
      <w:r>
        <w:rPr>
          <w:rFonts w:ascii="Times New Roman" w:eastAsia="Times New Roman" w:hAnsi="Times New Roman" w:cs="Times New Roman"/>
          <w:sz w:val="20"/>
        </w:rPr>
        <w:t xml:space="preserve"> обработки персональных данных, осуществляемой без использования средств автоматизации".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697B" w:rsidRDefault="0031697B" w:rsidP="00492015">
      <w:pPr>
        <w:spacing w:after="5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22DB">
        <w:rPr>
          <w:rFonts w:ascii="Times New Roman" w:eastAsia="Times New Roman" w:hAnsi="Times New Roman" w:cs="Times New Roman"/>
          <w:b/>
          <w:sz w:val="24"/>
        </w:rPr>
        <w:t>7</w:t>
      </w:r>
      <w:r w:rsidR="000660D7">
        <w:rPr>
          <w:rFonts w:ascii="Times New Roman" w:eastAsia="Times New Roman" w:hAnsi="Times New Roman" w:cs="Times New Roman"/>
          <w:b/>
          <w:sz w:val="24"/>
        </w:rPr>
        <w:t xml:space="preserve">.  </w:t>
      </w:r>
      <w:r>
        <w:rPr>
          <w:rFonts w:ascii="Times New Roman" w:eastAsia="Times New Roman" w:hAnsi="Times New Roman" w:cs="Times New Roman"/>
          <w:b/>
          <w:sz w:val="24"/>
        </w:rPr>
        <w:t xml:space="preserve">Срок хранения персональных данных </w:t>
      </w:r>
    </w:p>
    <w:p w:rsidR="0031697B" w:rsidRDefault="0031697B" w:rsidP="0031697B">
      <w:pPr>
        <w:spacing w:after="2" w:line="326" w:lineRule="auto"/>
        <w:ind w:left="-15"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Срок хранения персональных данных потребителей «по достижению цели обработки информации» составляет 3 года, т.е. по истечении срока хранения этих данных, а именно в случае расторжения, либо окончания срока действия Договора. </w:t>
      </w:r>
    </w:p>
    <w:p w:rsidR="0031697B" w:rsidRDefault="0031697B" w:rsidP="0031697B">
      <w:pPr>
        <w:spacing w:after="6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1697B" w:rsidRDefault="003922DB" w:rsidP="000660D7">
      <w:pPr>
        <w:spacing w:after="77"/>
        <w:ind w:left="283"/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0660D7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31697B">
        <w:rPr>
          <w:rFonts w:ascii="Times New Roman" w:eastAsia="Times New Roman" w:hAnsi="Times New Roman" w:cs="Times New Roman"/>
          <w:b/>
          <w:sz w:val="24"/>
        </w:rPr>
        <w:t xml:space="preserve">Дополнительные условия </w:t>
      </w:r>
    </w:p>
    <w:p w:rsidR="0031697B" w:rsidRDefault="0031697B" w:rsidP="0031697B">
      <w:pPr>
        <w:spacing w:after="2" w:line="271" w:lineRule="auto"/>
        <w:ind w:left="-15" w:firstLine="54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случае принятия собственниками помещений решения о внесении платы за все или некоторые коммунальные услуги (за исключением коммунальных услуг, потребляемых при использовании общего имущества в многоквартирном доме) </w:t>
      </w:r>
      <w:proofErr w:type="spellStart"/>
      <w:r>
        <w:rPr>
          <w:rFonts w:ascii="Times New Roman" w:eastAsia="Times New Roman" w:hAnsi="Times New Roman" w:cs="Times New Roman"/>
          <w:sz w:val="24"/>
        </w:rPr>
        <w:t>ресурсоснабжающим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организациям, а также в случае уступки в соответствии с гражданским законодательством Российской Федерации в пользу </w:t>
      </w:r>
      <w:proofErr w:type="spellStart"/>
      <w:r>
        <w:rPr>
          <w:rFonts w:ascii="Times New Roman" w:eastAsia="Times New Roman" w:hAnsi="Times New Roman" w:cs="Times New Roman"/>
          <w:sz w:val="24"/>
        </w:rPr>
        <w:t>ресурсоснабжающей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организации или иных лиц, прав требования к потребителям, имеющим задолженность по оплате коммунальной </w:t>
      </w:r>
      <w:r w:rsidR="00AA4537">
        <w:rPr>
          <w:rFonts w:ascii="Times New Roman" w:eastAsia="Times New Roman" w:hAnsi="Times New Roman" w:cs="Times New Roman"/>
          <w:sz w:val="24"/>
        </w:rPr>
        <w:t>услуги,  ТСЖ</w:t>
      </w:r>
      <w:r>
        <w:rPr>
          <w:rFonts w:ascii="Times New Roman" w:eastAsia="Times New Roman" w:hAnsi="Times New Roman" w:cs="Times New Roman"/>
          <w:sz w:val="24"/>
        </w:rPr>
        <w:t xml:space="preserve"> вправе передать таким </w:t>
      </w:r>
      <w:proofErr w:type="spellStart"/>
      <w:r>
        <w:rPr>
          <w:rFonts w:ascii="Times New Roman" w:eastAsia="Times New Roman" w:hAnsi="Times New Roman" w:cs="Times New Roman"/>
          <w:sz w:val="24"/>
        </w:rPr>
        <w:t>ресурсоснабжающим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организациям и иным лицам персональные данные субъектов персональных данных, указанные в п. 4 настоящего Приложения, для целей их обработки, указанных в п.1 настоящего Приложения, способами, указанными в п.6 настоящего Приложения. </w:t>
      </w:r>
    </w:p>
    <w:p w:rsidR="0031697B" w:rsidRDefault="0031697B" w:rsidP="0031697B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1697B" w:rsidRDefault="0031697B" w:rsidP="0031697B">
      <w:pPr>
        <w:spacing w:after="0"/>
        <w:ind w:left="5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1697B" w:rsidRDefault="0031697B" w:rsidP="0031697B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1697B" w:rsidRDefault="0031697B" w:rsidP="003922DB">
      <w:pPr>
        <w:spacing w:after="0"/>
        <w:ind w:left="5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31697B" w:rsidSect="00492015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2E2" w:rsidRDefault="009112E2" w:rsidP="0031697B">
      <w:pPr>
        <w:spacing w:after="0" w:line="240" w:lineRule="auto"/>
      </w:pPr>
      <w:r>
        <w:separator/>
      </w:r>
    </w:p>
  </w:endnote>
  <w:endnote w:type="continuationSeparator" w:id="0">
    <w:p w:rsidR="009112E2" w:rsidRDefault="009112E2" w:rsidP="0031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903296"/>
      <w:docPartObj>
        <w:docPartGallery w:val="Page Numbers (Bottom of Page)"/>
        <w:docPartUnique/>
      </w:docPartObj>
    </w:sdtPr>
    <w:sdtEndPr/>
    <w:sdtContent>
      <w:p w:rsidR="0031697B" w:rsidRDefault="003169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FA4">
          <w:rPr>
            <w:noProof/>
          </w:rPr>
          <w:t>1</w:t>
        </w:r>
        <w:r>
          <w:fldChar w:fldCharType="end"/>
        </w:r>
      </w:p>
    </w:sdtContent>
  </w:sdt>
  <w:p w:rsidR="0031697B" w:rsidRDefault="003169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2E2" w:rsidRDefault="009112E2" w:rsidP="0031697B">
      <w:pPr>
        <w:spacing w:after="0" w:line="240" w:lineRule="auto"/>
      </w:pPr>
      <w:r>
        <w:separator/>
      </w:r>
    </w:p>
  </w:footnote>
  <w:footnote w:type="continuationSeparator" w:id="0">
    <w:p w:rsidR="009112E2" w:rsidRDefault="009112E2" w:rsidP="00316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15234"/>
    <w:multiLevelType w:val="hybridMultilevel"/>
    <w:tmpl w:val="BD5E68B6"/>
    <w:lvl w:ilvl="0" w:tplc="AE1E5D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463F8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28BE6">
      <w:start w:val="1"/>
      <w:numFmt w:val="decimal"/>
      <w:lvlRestart w:val="0"/>
      <w:lvlText w:val="%3)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8F9BC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65E5E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06252A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24C0F2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655AA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FED1E2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357CE4"/>
    <w:multiLevelType w:val="hybridMultilevel"/>
    <w:tmpl w:val="0928B446"/>
    <w:lvl w:ilvl="0" w:tplc="88B86A2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E3CFE">
      <w:start w:val="1"/>
      <w:numFmt w:val="bullet"/>
      <w:lvlText w:val="o"/>
      <w:lvlJc w:val="left"/>
      <w:pPr>
        <w:ind w:left="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2257B4">
      <w:start w:val="1"/>
      <w:numFmt w:val="bullet"/>
      <w:lvlRestart w:val="0"/>
      <w:lvlText w:val="-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2474C8">
      <w:start w:val="1"/>
      <w:numFmt w:val="bullet"/>
      <w:lvlText w:val="•"/>
      <w:lvlJc w:val="left"/>
      <w:pPr>
        <w:ind w:left="1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48E36E">
      <w:start w:val="1"/>
      <w:numFmt w:val="bullet"/>
      <w:lvlText w:val="o"/>
      <w:lvlJc w:val="left"/>
      <w:pPr>
        <w:ind w:left="2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10F776">
      <w:start w:val="1"/>
      <w:numFmt w:val="bullet"/>
      <w:lvlText w:val="▪"/>
      <w:lvlJc w:val="left"/>
      <w:pPr>
        <w:ind w:left="3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EF466">
      <w:start w:val="1"/>
      <w:numFmt w:val="bullet"/>
      <w:lvlText w:val="•"/>
      <w:lvlJc w:val="left"/>
      <w:pPr>
        <w:ind w:left="3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EB36C">
      <w:start w:val="1"/>
      <w:numFmt w:val="bullet"/>
      <w:lvlText w:val="o"/>
      <w:lvlJc w:val="left"/>
      <w:pPr>
        <w:ind w:left="4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ADFF6">
      <w:start w:val="1"/>
      <w:numFmt w:val="bullet"/>
      <w:lvlText w:val="▪"/>
      <w:lvlJc w:val="left"/>
      <w:pPr>
        <w:ind w:left="5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BF68C6"/>
    <w:multiLevelType w:val="hybridMultilevel"/>
    <w:tmpl w:val="A838ED06"/>
    <w:lvl w:ilvl="0" w:tplc="8B48AB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07210">
      <w:start w:val="3"/>
      <w:numFmt w:val="decimal"/>
      <w:lvlText w:val="%2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A3CF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C6F5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A31A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EB21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8F1D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F9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CC150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0861230"/>
    <w:multiLevelType w:val="hybridMultilevel"/>
    <w:tmpl w:val="EF068228"/>
    <w:lvl w:ilvl="0" w:tplc="3C0A9CC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FA77CE">
      <w:start w:val="1"/>
      <w:numFmt w:val="decimal"/>
      <w:lvlText w:val="%2)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841D0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6E498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AA39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AA045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23CC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FA259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617A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7B"/>
    <w:rsid w:val="000660D7"/>
    <w:rsid w:val="000F7406"/>
    <w:rsid w:val="001D178D"/>
    <w:rsid w:val="0031697B"/>
    <w:rsid w:val="003922DB"/>
    <w:rsid w:val="003E1512"/>
    <w:rsid w:val="004250DC"/>
    <w:rsid w:val="00492015"/>
    <w:rsid w:val="005248B5"/>
    <w:rsid w:val="00576C47"/>
    <w:rsid w:val="00632A87"/>
    <w:rsid w:val="009112E2"/>
    <w:rsid w:val="00951FA4"/>
    <w:rsid w:val="00A73082"/>
    <w:rsid w:val="00AA4537"/>
    <w:rsid w:val="00E2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7B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97B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31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97B"/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7B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97B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31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97B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Анатолий</cp:lastModifiedBy>
  <cp:revision>7</cp:revision>
  <dcterms:created xsi:type="dcterms:W3CDTF">2016-09-09T10:23:00Z</dcterms:created>
  <dcterms:modified xsi:type="dcterms:W3CDTF">2017-03-17T06:13:00Z</dcterms:modified>
</cp:coreProperties>
</file>