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37" w:rsidRPr="0001705D" w:rsidRDefault="0001705D" w:rsidP="0001705D">
      <w:pPr>
        <w:jc w:val="right"/>
        <w:rPr>
          <w:rFonts w:ascii="Times New Roman" w:hAnsi="Times New Roman" w:cs="Times New Roman"/>
          <w:sz w:val="32"/>
          <w:szCs w:val="32"/>
        </w:rPr>
      </w:pPr>
      <w:r w:rsidRPr="0001705D">
        <w:rPr>
          <w:rFonts w:ascii="Times New Roman" w:hAnsi="Times New Roman" w:cs="Times New Roman"/>
          <w:sz w:val="32"/>
          <w:szCs w:val="32"/>
        </w:rPr>
        <w:t>Приложение 2</w:t>
      </w:r>
    </w:p>
    <w:p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ОТЧЕТ </w:t>
      </w:r>
    </w:p>
    <w:p w:rsidR="006744F0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ПО РЕЗУЛЬТАТАМ РЕВИЗИОННОЙ ПРОВЕРКИ ДЕЯТЕЛЬНОСТИ ТСЖ «СВЕТЛОЕ» </w:t>
      </w:r>
    </w:p>
    <w:p w:rsidR="006744F0" w:rsidRPr="008E527F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>ЗА 20</w:t>
      </w:r>
      <w:r w:rsidR="00436EE0">
        <w:rPr>
          <w:rFonts w:ascii="Times New Roman" w:hAnsi="Times New Roman" w:cs="Times New Roman"/>
          <w:sz w:val="48"/>
          <w:szCs w:val="48"/>
        </w:rPr>
        <w:t>20</w:t>
      </w:r>
      <w:r w:rsidRPr="008E527F">
        <w:rPr>
          <w:rFonts w:ascii="Times New Roman" w:hAnsi="Times New Roman" w:cs="Times New Roman"/>
          <w:sz w:val="48"/>
          <w:szCs w:val="48"/>
        </w:rPr>
        <w:t xml:space="preserve"> ГОД</w:t>
      </w: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4F0" w:rsidRDefault="00ED21E9" w:rsidP="00674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202</w:t>
      </w:r>
      <w:r w:rsidR="00436EE0">
        <w:rPr>
          <w:rFonts w:ascii="Times New Roman" w:hAnsi="Times New Roman" w:cs="Times New Roman"/>
          <w:sz w:val="28"/>
          <w:szCs w:val="28"/>
        </w:rPr>
        <w:t>1</w:t>
      </w:r>
      <w:r w:rsidR="006744F0">
        <w:rPr>
          <w:rFonts w:ascii="Times New Roman" w:hAnsi="Times New Roman" w:cs="Times New Roman"/>
          <w:sz w:val="28"/>
          <w:szCs w:val="28"/>
        </w:rPr>
        <w:t>г.</w:t>
      </w:r>
    </w:p>
    <w:p w:rsidR="006744F0" w:rsidRDefault="006744F0" w:rsidP="006744F0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:rsidR="006744F0" w:rsidRDefault="006744F0" w:rsidP="006744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начала ревизии: 25 февраля 202</w:t>
      </w:r>
      <w:r w:rsidR="00436E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44F0" w:rsidRDefault="006744F0" w:rsidP="006744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ревизии: </w:t>
      </w:r>
      <w:r w:rsidR="00436EE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436E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44F0" w:rsidRDefault="006744F0" w:rsidP="006744F0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:rsidR="00F718E7" w:rsidRDefault="00F718E7" w:rsidP="00B034DB">
      <w:pPr>
        <w:pStyle w:val="2"/>
        <w:numPr>
          <w:ilvl w:val="0"/>
          <w:numId w:val="18"/>
        </w:numPr>
      </w:pPr>
      <w:bookmarkStart w:id="1" w:name="_toc299553543"/>
      <w:bookmarkStart w:id="2" w:name="_Toc386061762"/>
      <w:r>
        <w:t>Основания и обстоятельства проведения ревизии.</w:t>
      </w:r>
      <w:bookmarkEnd w:id="1"/>
      <w:bookmarkEnd w:id="2"/>
    </w:p>
    <w:p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Ревизионная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деятельности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 собственников жилья "</w:t>
      </w:r>
      <w:r>
        <w:rPr>
          <w:rFonts w:ascii="Times New Roman" w:eastAsia="Times New Roman" w:hAnsi="Times New Roman" w:cs="Times New Roman"/>
          <w:sz w:val="24"/>
          <w:szCs w:val="24"/>
        </w:rPr>
        <w:t>Светлое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(далее — ТСЖ)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 мною, </w:t>
      </w:r>
      <w:proofErr w:type="spellStart"/>
      <w:r>
        <w:rPr>
          <w:rFonts w:ascii="Times New Roman" w:eastAsia="Times New Roman" w:hAnsi="Times New Roman" w:cs="Times New Roman"/>
        </w:rPr>
        <w:t>Артамошиной</w:t>
      </w:r>
      <w:proofErr w:type="spellEnd"/>
      <w:r>
        <w:rPr>
          <w:rFonts w:ascii="Times New Roman" w:eastAsia="Times New Roman" w:hAnsi="Times New Roman" w:cs="Times New Roman"/>
        </w:rPr>
        <w:t xml:space="preserve">  Ириной  Викторовной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общего собрания членов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8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D1" w:rsidRDefault="00F42BD1" w:rsidP="00F42BD1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В дальнейшем произошли изменения, что отражено протоколом №7 от 26.12.2019 года.</w:t>
      </w:r>
      <w:r w:rsidRPr="00B27A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42BD1" w:rsidRPr="00F73A36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евизи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финансово-хозяйственной деятельности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за период с 1 января 20</w:t>
      </w:r>
      <w:r w:rsidR="00F250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F250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 (далее — отчетный период), с целью объективной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независимой проверки деятельности и ее оценки, выдачи заключения об исполнении сметы доходов и расходов ТСЖ за 20</w:t>
      </w:r>
      <w:r w:rsidR="00F250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2BD1" w:rsidRPr="00F42BD1" w:rsidRDefault="00F42BD1" w:rsidP="00F42BD1"/>
    <w:p w:rsidR="00F42BD1" w:rsidRPr="001756B0" w:rsidRDefault="00F42BD1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Сведения из ЕГРЮЛ</w:t>
      </w:r>
    </w:p>
    <w:p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образования</w:t>
      </w:r>
      <w:r w:rsidRPr="0071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января 2008г.</w:t>
      </w:r>
    </w:p>
    <w:p w:rsidR="00F42BD1" w:rsidRPr="00717CC8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Учредители: Нестеров Б.К., Орлов В.Ф., Луценко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287893">
        <w:rPr>
          <w:rFonts w:ascii="Arial" w:hAnsi="Arial" w:cs="Arial"/>
          <w:color w:val="333333"/>
          <w:sz w:val="21"/>
          <w:szCs w:val="21"/>
        </w:rPr>
        <w:t>1088602000728</w:t>
      </w:r>
      <w:r>
        <w:rPr>
          <w:rFonts w:ascii="Arial" w:hAnsi="Arial" w:cs="Arial"/>
          <w:color w:val="333333"/>
          <w:sz w:val="21"/>
          <w:szCs w:val="21"/>
        </w:rPr>
        <w:t xml:space="preserve">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ИНН </w:t>
      </w:r>
      <w:r w:rsidRPr="00287893">
        <w:rPr>
          <w:rFonts w:ascii="Arial" w:hAnsi="Arial" w:cs="Arial"/>
          <w:color w:val="333333"/>
          <w:sz w:val="21"/>
          <w:szCs w:val="21"/>
        </w:rPr>
        <w:t>8602069766</w:t>
      </w:r>
    </w:p>
    <w:p w:rsidR="00F42BD1" w:rsidRPr="001756B0" w:rsidRDefault="00F42BD1" w:rsidP="00F42BD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287893">
        <w:rPr>
          <w:rFonts w:ascii="Arial" w:hAnsi="Arial" w:cs="Arial"/>
          <w:color w:val="333333"/>
          <w:sz w:val="21"/>
          <w:szCs w:val="21"/>
        </w:rPr>
        <w:t>87214149</w:t>
      </w:r>
      <w:r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color w:val="222222"/>
          <w:sz w:val="24"/>
          <w:szCs w:val="24"/>
        </w:rPr>
        <w:t>860201001</w:t>
      </w:r>
      <w:r>
        <w:rPr>
          <w:rFonts w:ascii="Arial" w:hAnsi="Arial" w:cs="Arial"/>
          <w:color w:val="333333"/>
          <w:sz w:val="21"/>
          <w:szCs w:val="21"/>
        </w:rPr>
        <w:t xml:space="preserve">            </w:t>
      </w:r>
    </w:p>
    <w:p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628406, Ханты-Мансийский автономный округ – Югра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Сургут, ул. Университетская, д.7, оф.100А </w:t>
      </w:r>
    </w:p>
    <w:p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ТСЖ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отчетном периоде действовали:</w:t>
      </w:r>
    </w:p>
    <w:p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40703810467170000062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</w:t>
      </w:r>
      <w:r w:rsidR="00F250E8">
        <w:rPr>
          <w:rFonts w:ascii="Times New Roman" w:hAnsi="Times New Roman" w:cs="Times New Roman"/>
          <w:sz w:val="24"/>
          <w:szCs w:val="24"/>
        </w:rPr>
        <w:t>отд. №8647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«СБЕРБАНК»</w:t>
      </w:r>
      <w:r w:rsidR="00F250E8">
        <w:rPr>
          <w:rFonts w:ascii="Times New Roman" w:hAnsi="Times New Roman" w:cs="Times New Roman"/>
          <w:sz w:val="24"/>
          <w:szCs w:val="24"/>
        </w:rPr>
        <w:t xml:space="preserve"> г. Тюмень</w:t>
      </w:r>
      <w:r>
        <w:rPr>
          <w:rFonts w:ascii="Times New Roman" w:hAnsi="Times New Roman" w:cs="Times New Roman"/>
          <w:sz w:val="24"/>
          <w:szCs w:val="24"/>
        </w:rPr>
        <w:t xml:space="preserve"> - остаток на 01.01.2</w:t>
      </w:r>
      <w:r w:rsidR="00F250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FD1265">
        <w:rPr>
          <w:rFonts w:ascii="Times New Roman" w:hAnsi="Times New Roman" w:cs="Times New Roman"/>
          <w:sz w:val="24"/>
          <w:szCs w:val="24"/>
        </w:rPr>
        <w:t>38 0</w:t>
      </w:r>
      <w:r>
        <w:rPr>
          <w:rFonts w:ascii="Times New Roman" w:hAnsi="Times New Roman" w:cs="Times New Roman"/>
          <w:sz w:val="24"/>
          <w:szCs w:val="24"/>
        </w:rPr>
        <w:t>04</w:t>
      </w:r>
      <w:r w:rsidR="00FD1265">
        <w:rPr>
          <w:rFonts w:ascii="Times New Roman" w:hAnsi="Times New Roman" w:cs="Times New Roman"/>
          <w:sz w:val="24"/>
          <w:szCs w:val="24"/>
        </w:rPr>
        <w:t xml:space="preserve"> (пятьсот тридцать восемь тысяч четыре) рубля 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265">
        <w:rPr>
          <w:rFonts w:ascii="Times New Roman" w:hAnsi="Times New Roman" w:cs="Times New Roman"/>
          <w:sz w:val="24"/>
          <w:szCs w:val="24"/>
        </w:rPr>
        <w:t>копеек.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</w:t>
      </w:r>
      <w:r w:rsidRPr="00287893">
        <w:rPr>
          <w:rFonts w:ascii="Times New Roman" w:hAnsi="Times New Roman" w:cs="Times New Roman"/>
          <w:sz w:val="24"/>
          <w:szCs w:val="24"/>
        </w:rPr>
        <w:t>ый счет</w:t>
      </w:r>
      <w:r>
        <w:rPr>
          <w:rFonts w:ascii="Times New Roman" w:hAnsi="Times New Roman" w:cs="Times New Roman"/>
          <w:sz w:val="24"/>
          <w:szCs w:val="24"/>
        </w:rPr>
        <w:t xml:space="preserve"> 40821810267170000092</w:t>
      </w:r>
      <w:r w:rsidRPr="00287893">
        <w:rPr>
          <w:rFonts w:ascii="Times New Roman" w:hAnsi="Times New Roman" w:cs="Times New Roman"/>
          <w:sz w:val="24"/>
          <w:szCs w:val="24"/>
        </w:rPr>
        <w:t xml:space="preserve"> в Западно-Сибирском </w:t>
      </w:r>
      <w:r w:rsidR="00FD1265">
        <w:rPr>
          <w:rFonts w:ascii="Times New Roman" w:hAnsi="Times New Roman" w:cs="Times New Roman"/>
          <w:sz w:val="24"/>
          <w:szCs w:val="24"/>
        </w:rPr>
        <w:t xml:space="preserve">отд. №8647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</w:t>
      </w:r>
      <w:r w:rsidR="00FD1265">
        <w:rPr>
          <w:rFonts w:ascii="Times New Roman" w:hAnsi="Times New Roman" w:cs="Times New Roman"/>
          <w:sz w:val="24"/>
          <w:szCs w:val="24"/>
        </w:rPr>
        <w:t xml:space="preserve">г. Тюмень </w:t>
      </w:r>
      <w:r>
        <w:rPr>
          <w:rFonts w:ascii="Times New Roman" w:hAnsi="Times New Roman" w:cs="Times New Roman"/>
          <w:sz w:val="24"/>
          <w:szCs w:val="24"/>
        </w:rPr>
        <w:t>остаток на 01.01.2</w:t>
      </w:r>
      <w:r w:rsidR="00FD1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1265">
        <w:rPr>
          <w:rFonts w:ascii="Times New Roman" w:hAnsi="Times New Roman" w:cs="Times New Roman"/>
          <w:sz w:val="24"/>
          <w:szCs w:val="24"/>
        </w:rPr>
        <w:t>807 664 (восемьсот семь тысяч шестьсот шестьдесят четыре) рубля 92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87893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(для взносов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кап.ремонту</w:t>
      </w:r>
      <w:proofErr w:type="spellEnd"/>
      <w:r>
        <w:rPr>
          <w:rFonts w:ascii="Times New Roman" w:hAnsi="Times New Roman" w:cs="Times New Roman"/>
          <w:sz w:val="24"/>
          <w:szCs w:val="24"/>
        </w:rPr>
        <w:t>) 40705810067170000020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Pr="00287893">
        <w:rPr>
          <w:rFonts w:ascii="Times New Roman" w:hAnsi="Times New Roman" w:cs="Times New Roman"/>
          <w:sz w:val="24"/>
          <w:szCs w:val="24"/>
        </w:rPr>
        <w:t>Западно-Сибирском</w:t>
      </w:r>
      <w:proofErr w:type="gramEnd"/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="00FD1265">
        <w:rPr>
          <w:rFonts w:ascii="Times New Roman" w:hAnsi="Times New Roman" w:cs="Times New Roman"/>
          <w:sz w:val="24"/>
          <w:szCs w:val="24"/>
        </w:rPr>
        <w:t>отд. №8647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</w:t>
      </w:r>
      <w:r w:rsidR="00FD1265">
        <w:rPr>
          <w:rFonts w:ascii="Times New Roman" w:hAnsi="Times New Roman" w:cs="Times New Roman"/>
          <w:sz w:val="24"/>
          <w:szCs w:val="24"/>
        </w:rPr>
        <w:t xml:space="preserve">г. Тюмень </w:t>
      </w:r>
      <w:r>
        <w:rPr>
          <w:rFonts w:ascii="Times New Roman" w:hAnsi="Times New Roman" w:cs="Times New Roman"/>
          <w:sz w:val="24"/>
          <w:szCs w:val="24"/>
        </w:rPr>
        <w:t>- остаток на 01.01.2</w:t>
      </w:r>
      <w:r w:rsidR="00FD1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126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1265">
        <w:rPr>
          <w:rFonts w:ascii="Times New Roman" w:hAnsi="Times New Roman" w:cs="Times New Roman"/>
          <w:sz w:val="24"/>
          <w:szCs w:val="24"/>
        </w:rPr>
        <w:t>190 </w:t>
      </w:r>
      <w:r>
        <w:rPr>
          <w:rFonts w:ascii="Times New Roman" w:hAnsi="Times New Roman" w:cs="Times New Roman"/>
          <w:sz w:val="24"/>
          <w:szCs w:val="24"/>
        </w:rPr>
        <w:t>74</w:t>
      </w:r>
      <w:r w:rsidR="00FD1265">
        <w:rPr>
          <w:rFonts w:ascii="Times New Roman" w:hAnsi="Times New Roman" w:cs="Times New Roman"/>
          <w:sz w:val="24"/>
          <w:szCs w:val="24"/>
        </w:rPr>
        <w:t>5 (девятнадцать миллионов сто девяносто тысяч семьсот сорок пять)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D1265">
        <w:rPr>
          <w:rFonts w:ascii="Times New Roman" w:hAnsi="Times New Roman" w:cs="Times New Roman"/>
          <w:sz w:val="24"/>
          <w:szCs w:val="24"/>
        </w:rPr>
        <w:t xml:space="preserve"> 91 копейка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Право подписи финансовых документов в проверяемом периоде имели:</w:t>
      </w:r>
    </w:p>
    <w:p w:rsidR="00F42BD1" w:rsidRPr="003C0CAD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С правом первой подписи – председатель Шварцкопф В.М.</w:t>
      </w:r>
    </w:p>
    <w:p w:rsidR="00F42BD1" w:rsidRDefault="00F42BD1" w:rsidP="00F42BD1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F63B4" w:rsidRDefault="001F63B4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D1" w:rsidRDefault="00F42BD1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lastRenderedPageBreak/>
        <w:t>Органы управления</w:t>
      </w:r>
    </w:p>
    <w:p w:rsidR="00F42BD1" w:rsidRPr="001756B0" w:rsidRDefault="00F42BD1" w:rsidP="00F42BD1">
      <w:pPr>
        <w:rPr>
          <w:rFonts w:ascii="Times New Roman" w:hAnsi="Times New Roman" w:cs="Times New Roman"/>
          <w:b/>
          <w:sz w:val="28"/>
          <w:szCs w:val="28"/>
        </w:rPr>
      </w:pPr>
      <w:r w:rsidRPr="00F73A36">
        <w:rPr>
          <w:rFonts w:ascii="Times New Roman" w:eastAsia="Calibri" w:hAnsi="Times New Roman" w:cs="Times New Roman"/>
          <w:sz w:val="24"/>
        </w:rPr>
        <w:t xml:space="preserve">Председатель правления: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Шварцкопф В.М.</w:t>
      </w:r>
    </w:p>
    <w:p w:rsidR="00F42BD1" w:rsidRPr="003B787E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членов правления – Приложение №1 </w:t>
      </w:r>
    </w:p>
    <w:p w:rsidR="00F42BD1" w:rsidRDefault="00F42BD1" w:rsidP="00F42BD1">
      <w:pPr>
        <w:rPr>
          <w:rFonts w:ascii="Times New Roman" w:hAnsi="Times New Roman" w:cs="Times New Roman"/>
          <w:sz w:val="24"/>
          <w:szCs w:val="24"/>
        </w:rPr>
      </w:pPr>
    </w:p>
    <w:p w:rsidR="00F42BD1" w:rsidRDefault="00F42BD1" w:rsidP="00F42BD1">
      <w:pPr>
        <w:pStyle w:val="2"/>
      </w:pPr>
      <w:r>
        <w:t>Анализ финансово-хозяйственной деятельности</w:t>
      </w:r>
    </w:p>
    <w:p w:rsidR="00F42BD1" w:rsidRPr="00420B97" w:rsidRDefault="00F42BD1" w:rsidP="00F42BD1">
      <w:pPr>
        <w:pStyle w:val="3"/>
        <w:rPr>
          <w:color w:val="auto"/>
        </w:rPr>
      </w:pPr>
      <w:r w:rsidRPr="00420B97">
        <w:rPr>
          <w:color w:val="auto"/>
        </w:rPr>
        <w:t>Информация по тарифам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Тариф на содержание жилфонда в отчетном периоде: 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>29,76 руб./м2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D1" w:rsidRPr="00F73A36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Учитываемая для расчета площадь (включая офисные помещения) – 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>26860,75 м2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BD1" w:rsidRDefault="00F42BD1" w:rsidP="00F42BD1">
      <w:pPr>
        <w:pStyle w:val="a6"/>
      </w:pPr>
    </w:p>
    <w:p w:rsidR="00F42BD1" w:rsidRPr="00420B97" w:rsidRDefault="00F42BD1" w:rsidP="00F42BD1">
      <w:pPr>
        <w:pStyle w:val="3"/>
        <w:rPr>
          <w:color w:val="auto"/>
        </w:rPr>
      </w:pPr>
      <w:r w:rsidRPr="00420B97">
        <w:rPr>
          <w:color w:val="auto"/>
        </w:rPr>
        <w:t>Информация по начислениям</w:t>
      </w:r>
    </w:p>
    <w:p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Сводная ведомость начислений </w:t>
      </w:r>
      <w:r>
        <w:rPr>
          <w:rFonts w:ascii="Times New Roman" w:eastAsia="Times New Roman" w:hAnsi="Times New Roman" w:cs="Times New Roman"/>
          <w:sz w:val="24"/>
          <w:szCs w:val="24"/>
        </w:rPr>
        <w:t>по коммунальным/транзитным платежам за 20</w:t>
      </w:r>
      <w:r w:rsidR="0098600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приведена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p w:rsidR="00F42BD1" w:rsidRPr="00826570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2BD1" w:rsidTr="004B7C53">
        <w:tc>
          <w:tcPr>
            <w:tcW w:w="2392" w:type="dxa"/>
            <w:vMerge w:val="restart"/>
          </w:tcPr>
          <w:p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:rsidR="00F42BD1" w:rsidRPr="0003347C" w:rsidRDefault="00F42BD1" w:rsidP="00986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20</w:t>
            </w:r>
            <w:r w:rsidR="0098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начислено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393" w:type="dxa"/>
            <w:vMerge w:val="restart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зница в начислениях</w:t>
            </w:r>
          </w:p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 </w:t>
            </w:r>
          </w:p>
          <w:p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(графа2 – графа3)</w:t>
            </w:r>
          </w:p>
        </w:tc>
      </w:tr>
      <w:tr w:rsidR="00F42BD1" w:rsidTr="004B7C53">
        <w:tc>
          <w:tcPr>
            <w:tcW w:w="2392" w:type="dxa"/>
            <w:vMerge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собственникам (по квитанциям РКЦ)</w:t>
            </w:r>
          </w:p>
        </w:tc>
        <w:tc>
          <w:tcPr>
            <w:tcW w:w="2393" w:type="dxa"/>
          </w:tcPr>
          <w:p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ТСЖ (поставщиками за оказанные услуги)</w:t>
            </w:r>
          </w:p>
        </w:tc>
        <w:tc>
          <w:tcPr>
            <w:tcW w:w="2393" w:type="dxa"/>
            <w:vMerge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:rsidTr="004B7C53">
        <w:tc>
          <w:tcPr>
            <w:tcW w:w="2392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BD1" w:rsidTr="004B7C53">
        <w:tc>
          <w:tcPr>
            <w:tcW w:w="2392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93" w:type="dxa"/>
          </w:tcPr>
          <w:p w:rsidR="00F42BD1" w:rsidRDefault="00F42BD1" w:rsidP="009860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007">
              <w:rPr>
                <w:rFonts w:ascii="Times New Roman" w:eastAsia="Times New Roman" w:hAnsi="Times New Roman" w:cs="Times New Roman"/>
                <w:sz w:val="24"/>
                <w:szCs w:val="24"/>
              </w:rPr>
              <w:t> 575 878</w:t>
            </w:r>
          </w:p>
        </w:tc>
        <w:tc>
          <w:tcPr>
            <w:tcW w:w="2393" w:type="dxa"/>
          </w:tcPr>
          <w:p w:rsidR="00F42BD1" w:rsidRDefault="00F42BD1" w:rsidP="009860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0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007">
              <w:rPr>
                <w:rFonts w:ascii="Times New Roman" w:eastAsia="Times New Roman" w:hAnsi="Times New Roman" w:cs="Times New Roman"/>
                <w:sz w:val="24"/>
                <w:szCs w:val="24"/>
              </w:rPr>
              <w:t>87 174</w:t>
            </w:r>
          </w:p>
        </w:tc>
        <w:tc>
          <w:tcPr>
            <w:tcW w:w="2393" w:type="dxa"/>
          </w:tcPr>
          <w:p w:rsidR="00F42BD1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-11 296</w:t>
            </w:r>
          </w:p>
        </w:tc>
      </w:tr>
      <w:tr w:rsidR="00F42BD1" w:rsidTr="004B7C53">
        <w:tc>
          <w:tcPr>
            <w:tcW w:w="2392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93" w:type="dxa"/>
          </w:tcPr>
          <w:p w:rsidR="00F42BD1" w:rsidRDefault="00F42BD1" w:rsidP="009860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</w:t>
            </w:r>
            <w:r w:rsidR="009860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86007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393" w:type="dxa"/>
          </w:tcPr>
          <w:p w:rsidR="00F42BD1" w:rsidRDefault="00F42BD1" w:rsidP="009860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007">
              <w:rPr>
                <w:rFonts w:ascii="Times New Roman" w:eastAsia="Times New Roman" w:hAnsi="Times New Roman" w:cs="Times New Roman"/>
                <w:sz w:val="24"/>
                <w:szCs w:val="24"/>
              </w:rPr>
              <w:t> 717 271</w:t>
            </w:r>
          </w:p>
        </w:tc>
        <w:tc>
          <w:tcPr>
            <w:tcW w:w="2393" w:type="dxa"/>
          </w:tcPr>
          <w:p w:rsidR="00F42BD1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95 590</w:t>
            </w:r>
          </w:p>
        </w:tc>
      </w:tr>
      <w:tr w:rsidR="00F42BD1" w:rsidTr="004B7C53">
        <w:tc>
          <w:tcPr>
            <w:tcW w:w="2392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и подогрев воды</w:t>
            </w:r>
          </w:p>
        </w:tc>
        <w:tc>
          <w:tcPr>
            <w:tcW w:w="2393" w:type="dxa"/>
          </w:tcPr>
          <w:p w:rsidR="00F42BD1" w:rsidRDefault="00986007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7 633 726</w:t>
            </w:r>
          </w:p>
        </w:tc>
        <w:tc>
          <w:tcPr>
            <w:tcW w:w="2393" w:type="dxa"/>
          </w:tcPr>
          <w:p w:rsidR="00F42BD1" w:rsidRDefault="00986007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7 721 548</w:t>
            </w:r>
          </w:p>
        </w:tc>
        <w:tc>
          <w:tcPr>
            <w:tcW w:w="2393" w:type="dxa"/>
          </w:tcPr>
          <w:p w:rsidR="00F42BD1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-87 822</w:t>
            </w:r>
          </w:p>
        </w:tc>
      </w:tr>
      <w:tr w:rsidR="007D375E" w:rsidTr="004B7C53">
        <w:tc>
          <w:tcPr>
            <w:tcW w:w="2392" w:type="dxa"/>
          </w:tcPr>
          <w:p w:rsidR="007D375E" w:rsidRDefault="007D375E" w:rsidP="00127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:rsidR="007D375E" w:rsidRDefault="007D375E" w:rsidP="007D37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2 075 289</w:t>
            </w:r>
          </w:p>
        </w:tc>
        <w:tc>
          <w:tcPr>
            <w:tcW w:w="2393" w:type="dxa"/>
          </w:tcPr>
          <w:p w:rsidR="007D375E" w:rsidRDefault="007D375E" w:rsidP="001278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2 110 102</w:t>
            </w:r>
          </w:p>
        </w:tc>
        <w:tc>
          <w:tcPr>
            <w:tcW w:w="2393" w:type="dxa"/>
          </w:tcPr>
          <w:p w:rsidR="007D375E" w:rsidRDefault="007D375E" w:rsidP="001278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-34 813</w:t>
            </w:r>
          </w:p>
        </w:tc>
      </w:tr>
      <w:tr w:rsidR="007D375E" w:rsidTr="004B7C53">
        <w:tc>
          <w:tcPr>
            <w:tcW w:w="2392" w:type="dxa"/>
          </w:tcPr>
          <w:p w:rsidR="007D375E" w:rsidRDefault="007D375E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паспортного стола</w:t>
            </w:r>
          </w:p>
        </w:tc>
        <w:tc>
          <w:tcPr>
            <w:tcW w:w="2393" w:type="dxa"/>
          </w:tcPr>
          <w:p w:rsidR="007D375E" w:rsidRDefault="007D375E" w:rsidP="009860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154 014</w:t>
            </w:r>
          </w:p>
        </w:tc>
        <w:tc>
          <w:tcPr>
            <w:tcW w:w="2393" w:type="dxa"/>
          </w:tcPr>
          <w:p w:rsidR="007D375E" w:rsidRDefault="007D375E" w:rsidP="007D37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165 137</w:t>
            </w:r>
          </w:p>
        </w:tc>
        <w:tc>
          <w:tcPr>
            <w:tcW w:w="2393" w:type="dxa"/>
          </w:tcPr>
          <w:p w:rsidR="007D375E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-11 123</w:t>
            </w:r>
          </w:p>
        </w:tc>
      </w:tr>
      <w:tr w:rsidR="007D375E" w:rsidTr="004B7C53">
        <w:tc>
          <w:tcPr>
            <w:tcW w:w="2392" w:type="dxa"/>
          </w:tcPr>
          <w:p w:rsidR="007D375E" w:rsidRDefault="007D375E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75E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75E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75E" w:rsidRDefault="007D375E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75E" w:rsidTr="004B7C53">
        <w:tc>
          <w:tcPr>
            <w:tcW w:w="2392" w:type="dxa"/>
          </w:tcPr>
          <w:p w:rsidR="007D375E" w:rsidRPr="0003347C" w:rsidRDefault="007D375E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7D375E" w:rsidRPr="00083353" w:rsidRDefault="007D375E" w:rsidP="007D375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13 251 768</w:t>
            </w:r>
          </w:p>
        </w:tc>
        <w:tc>
          <w:tcPr>
            <w:tcW w:w="2393" w:type="dxa"/>
          </w:tcPr>
          <w:p w:rsidR="007D375E" w:rsidRPr="0003347C" w:rsidRDefault="007D375E" w:rsidP="007D375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13 301 232</w:t>
            </w:r>
          </w:p>
        </w:tc>
        <w:tc>
          <w:tcPr>
            <w:tcW w:w="2393" w:type="dxa"/>
          </w:tcPr>
          <w:p w:rsidR="007D375E" w:rsidRPr="0003347C" w:rsidRDefault="007D375E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-49 464</w:t>
            </w:r>
          </w:p>
        </w:tc>
      </w:tr>
    </w:tbl>
    <w:p w:rsidR="00F42BD1" w:rsidRPr="00F73A36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F42BD1" w:rsidP="00F42BD1">
      <w:pPr>
        <w:rPr>
          <w:rFonts w:ascii="Times New Roman" w:eastAsia="Times New Roman" w:hAnsi="Times New Roman" w:cs="Times New Roman"/>
        </w:rPr>
      </w:pPr>
      <w:r w:rsidRPr="00280F33">
        <w:rPr>
          <w:rFonts w:ascii="Times New Roman" w:eastAsia="Times New Roman" w:hAnsi="Times New Roman" w:cs="Times New Roman"/>
          <w:sz w:val="24"/>
          <w:szCs w:val="24"/>
        </w:rPr>
        <w:t xml:space="preserve">Разница между начислениями собственникам (по квитанциям РКЦ) и предъявлено ТСЖ </w:t>
      </w:r>
      <w:r w:rsidR="00CA522B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 РСО, 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>образовалась из-за разницы в периодах показаний</w:t>
      </w:r>
      <w:r w:rsidR="00CA522B">
        <w:rPr>
          <w:rFonts w:ascii="Times New Roman" w:eastAsia="Times New Roman" w:hAnsi="Times New Roman" w:cs="Times New Roman"/>
          <w:sz w:val="24"/>
          <w:szCs w:val="24"/>
        </w:rPr>
        <w:t xml:space="preserve"> (с 20 по 20)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522B">
        <w:rPr>
          <w:rFonts w:ascii="Times New Roman" w:eastAsia="Times New Roman" w:hAnsi="Times New Roman" w:cs="Times New Roman"/>
          <w:sz w:val="24"/>
          <w:szCs w:val="24"/>
        </w:rPr>
        <w:t>а РСО -  ТСЖ предъявляют на последнюю дату месяца. По водоотведению было начислено собственникам больше, так как водоотведение считают по среднему показателю (холодная вода плюс холодная вода для горячего водоснабжения).</w:t>
      </w:r>
    </w:p>
    <w:p w:rsidR="00F42BD1" w:rsidRPr="00DC214E" w:rsidRDefault="00F42BD1" w:rsidP="00F42B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4E">
        <w:rPr>
          <w:rFonts w:ascii="Times New Roman" w:hAnsi="Times New Roman" w:cs="Times New Roman"/>
          <w:b/>
          <w:sz w:val="28"/>
          <w:szCs w:val="28"/>
        </w:rPr>
        <w:t>Анализ исполнения сметы</w:t>
      </w:r>
    </w:p>
    <w:p w:rsidR="00F42BD1" w:rsidRPr="006B40EF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Смета по статье «Содержание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текущий ремонт </w:t>
      </w: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жилфонда» 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сметы ТСЖ «Светлое» за 20</w:t>
      </w:r>
      <w:r w:rsidR="00CA522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г. приведено в Приложении №</w:t>
      </w:r>
      <w:r w:rsidR="00C8383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Представленная смета является не противоречащей уставной деятельности ТСЖ «Светлое» и экономически обоснованной.</w:t>
      </w:r>
    </w:p>
    <w:p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0D159D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по статье «содержание жилфонда </w:t>
      </w:r>
      <w:r w:rsidR="00FB19AD">
        <w:rPr>
          <w:rFonts w:ascii="Times New Roman" w:eastAsia="Times New Roman" w:hAnsi="Times New Roman" w:cs="Times New Roman"/>
          <w:sz w:val="24"/>
          <w:szCs w:val="24"/>
        </w:rPr>
        <w:t>и текущий ремонт» по итогам 2020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>г. 9 </w:t>
      </w:r>
      <w:r w:rsidR="00FB19AD">
        <w:rPr>
          <w:rFonts w:ascii="Times New Roman" w:eastAsia="Times New Roman" w:hAnsi="Times New Roman" w:cs="Times New Roman"/>
          <w:sz w:val="24"/>
          <w:szCs w:val="24"/>
        </w:rPr>
        <w:t>579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> 8</w:t>
      </w:r>
      <w:r w:rsidR="00FB19AD">
        <w:rPr>
          <w:rFonts w:ascii="Times New Roman" w:eastAsia="Times New Roman" w:hAnsi="Times New Roman" w:cs="Times New Roman"/>
          <w:sz w:val="24"/>
          <w:szCs w:val="24"/>
        </w:rPr>
        <w:t>93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руб., что на </w:t>
      </w:r>
      <w:r w:rsidR="00FB19AD">
        <w:rPr>
          <w:rFonts w:ascii="Times New Roman" w:eastAsia="Times New Roman" w:hAnsi="Times New Roman" w:cs="Times New Roman"/>
          <w:sz w:val="24"/>
          <w:szCs w:val="24"/>
        </w:rPr>
        <w:t>12 618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планового показателя.</w:t>
      </w:r>
    </w:p>
    <w:p w:rsidR="000D159D" w:rsidRDefault="000D159D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331" w:rsidRDefault="00DD033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0D159D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>Доходная часть от коммерческой деятельности по итогам 20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года 1 4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88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руб., что на 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430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 xml:space="preserve"> планового показателя.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 xml:space="preserve"> Доходная часть увеличилась за счет увеличения </w:t>
      </w:r>
      <w:r w:rsidR="0012767E">
        <w:rPr>
          <w:rFonts w:ascii="Times New Roman" w:eastAsia="Times New Roman" w:hAnsi="Times New Roman" w:cs="Times New Roman"/>
          <w:sz w:val="24"/>
          <w:szCs w:val="24"/>
        </w:rPr>
        <w:t xml:space="preserve">аренды </w:t>
      </w:r>
      <w:r w:rsidR="00197D0C">
        <w:rPr>
          <w:rFonts w:ascii="Times New Roman" w:eastAsia="Times New Roman" w:hAnsi="Times New Roman" w:cs="Times New Roman"/>
          <w:sz w:val="24"/>
          <w:szCs w:val="24"/>
        </w:rPr>
        <w:t>площади за размещение рекламы, реализации металлолома, после демонтажа трубопровода от ИТП до МКД.</w:t>
      </w:r>
    </w:p>
    <w:p w:rsidR="00F42BD1" w:rsidRDefault="00197D0C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расходная часть составила 10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> 839 725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по ТСЖ «Светлое» за отчетный период экономия денежных средств в размере 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63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38C">
        <w:rPr>
          <w:rFonts w:ascii="Times New Roman" w:eastAsia="Times New Roman" w:hAnsi="Times New Roman" w:cs="Times New Roman"/>
          <w:sz w:val="24"/>
          <w:szCs w:val="24"/>
        </w:rPr>
        <w:t>789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руб., в том числе:</w:t>
      </w:r>
      <w:r w:rsidR="00362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статье «содержание жилфонда» 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 xml:space="preserve">перерасход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9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3439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39C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 статье «расходы по коммерческой смете» экономия на </w:t>
      </w:r>
      <w:r w:rsidR="002D40F5">
        <w:rPr>
          <w:rFonts w:ascii="Times New Roman" w:eastAsia="Times New Roman" w:hAnsi="Times New Roman" w:cs="Times New Roman"/>
          <w:sz w:val="24"/>
          <w:szCs w:val="24"/>
        </w:rPr>
        <w:t>+317 019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3439CE" w:rsidRDefault="003439CE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12767E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42BD1">
        <w:rPr>
          <w:rFonts w:ascii="Times New Roman" w:eastAsia="Times New Roman" w:hAnsi="Times New Roman" w:cs="Times New Roman"/>
          <w:sz w:val="24"/>
          <w:szCs w:val="24"/>
        </w:rPr>
        <w:t>асходная часть сметы превышена, главным образом за счет незапланированных расходов в том числе:</w:t>
      </w:r>
    </w:p>
    <w:p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16"/>
        <w:gridCol w:w="5611"/>
        <w:gridCol w:w="1559"/>
      </w:tblGrid>
      <w:tr w:rsidR="00F42BD1" w:rsidTr="004B7C53">
        <w:tc>
          <w:tcPr>
            <w:tcW w:w="51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1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F42BD1" w:rsidRDefault="002D40F5" w:rsidP="002D4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vAlign w:val="center"/>
          </w:tcPr>
          <w:p w:rsidR="002D40F5" w:rsidRPr="00CB729A" w:rsidRDefault="002D40F5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Запрос из архива проектной док-</w:t>
            </w:r>
            <w:proofErr w:type="spellStart"/>
            <w:r w:rsidRPr="00CB729A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vAlign w:val="center"/>
          </w:tcPr>
          <w:p w:rsidR="002D40F5" w:rsidRPr="00CB729A" w:rsidRDefault="002D40F5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Проверка локальной сметы на замену трубопровода. За счет капремонта</w:t>
            </w:r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24 125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vAlign w:val="center"/>
          </w:tcPr>
          <w:p w:rsidR="002D40F5" w:rsidRPr="00CB729A" w:rsidRDefault="002D40F5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 xml:space="preserve">Дезинфекция </w:t>
            </w:r>
            <w:proofErr w:type="spellStart"/>
            <w:r w:rsidRPr="00CB729A">
              <w:rPr>
                <w:rFonts w:ascii="Times New Roman" w:hAnsi="Times New Roman" w:cs="Times New Roman"/>
                <w:color w:val="000000"/>
              </w:rPr>
              <w:t>короновируса</w:t>
            </w:r>
            <w:proofErr w:type="spellEnd"/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118 630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  <w:vAlign w:val="center"/>
          </w:tcPr>
          <w:p w:rsidR="002D40F5" w:rsidRPr="00CB729A" w:rsidRDefault="002D40F5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Аудиторская проверка</w:t>
            </w:r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14 609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1" w:type="dxa"/>
            <w:vAlign w:val="center"/>
          </w:tcPr>
          <w:p w:rsidR="002D40F5" w:rsidRPr="00CB729A" w:rsidRDefault="002D40F5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 xml:space="preserve">Устранение аварии (замена трубопровода ГВС кв.156, тр. </w:t>
            </w:r>
            <w:proofErr w:type="gramStart"/>
            <w:r w:rsidRPr="00CB729A">
              <w:rPr>
                <w:rFonts w:ascii="Times New Roman" w:hAnsi="Times New Roman" w:cs="Times New Roman"/>
                <w:color w:val="000000"/>
              </w:rPr>
              <w:t>ЗСГС;  Устранение</w:t>
            </w:r>
            <w:proofErr w:type="gramEnd"/>
            <w:r w:rsidRPr="00CB729A">
              <w:rPr>
                <w:rFonts w:ascii="Times New Roman" w:hAnsi="Times New Roman" w:cs="Times New Roman"/>
                <w:color w:val="000000"/>
              </w:rPr>
              <w:t xml:space="preserve"> аварии в приямке ИТП;  Ремонт системы отопления офиса ТСЖ и МОП; Монтаж муфты  и подключение силового кабеля в ТП </w:t>
            </w:r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88 869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1" w:type="dxa"/>
            <w:vAlign w:val="center"/>
          </w:tcPr>
          <w:p w:rsidR="002D40F5" w:rsidRPr="00CB729A" w:rsidRDefault="002D40F5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Ремонт клапанов мусоропровода</w:t>
            </w:r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63 036</w:t>
            </w:r>
          </w:p>
        </w:tc>
      </w:tr>
      <w:tr w:rsidR="002D40F5" w:rsidTr="007F3B09">
        <w:tc>
          <w:tcPr>
            <w:tcW w:w="516" w:type="dxa"/>
          </w:tcPr>
          <w:p w:rsidR="002D40F5" w:rsidRDefault="002D40F5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1" w:type="dxa"/>
            <w:vAlign w:val="center"/>
          </w:tcPr>
          <w:p w:rsidR="002D40F5" w:rsidRPr="00CB729A" w:rsidRDefault="002D40F5" w:rsidP="00CB729A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 xml:space="preserve">Реконструкция системы ХВС в тех. </w:t>
            </w:r>
            <w:r w:rsidR="00CB729A">
              <w:rPr>
                <w:rFonts w:ascii="Times New Roman" w:hAnsi="Times New Roman" w:cs="Times New Roman"/>
                <w:color w:val="000000"/>
              </w:rPr>
              <w:t>э</w:t>
            </w:r>
            <w:r w:rsidRPr="00CB729A">
              <w:rPr>
                <w:rFonts w:ascii="Times New Roman" w:hAnsi="Times New Roman" w:cs="Times New Roman"/>
                <w:color w:val="000000"/>
              </w:rPr>
              <w:t>таже, ремонт стояка ГВС</w:t>
            </w:r>
          </w:p>
        </w:tc>
        <w:tc>
          <w:tcPr>
            <w:tcW w:w="1559" w:type="dxa"/>
            <w:vAlign w:val="bottom"/>
          </w:tcPr>
          <w:p w:rsidR="002D40F5" w:rsidRPr="00CB729A" w:rsidRDefault="002D40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56 182</w:t>
            </w:r>
          </w:p>
        </w:tc>
      </w:tr>
      <w:tr w:rsidR="00CB729A" w:rsidTr="007F3B09">
        <w:tc>
          <w:tcPr>
            <w:tcW w:w="516" w:type="dxa"/>
          </w:tcPr>
          <w:p w:rsidR="00CB729A" w:rsidRDefault="00CB729A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1" w:type="dxa"/>
            <w:vAlign w:val="center"/>
          </w:tcPr>
          <w:p w:rsidR="00CB729A" w:rsidRPr="00CB729A" w:rsidRDefault="00CB729A">
            <w:pPr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Демонтаж и монтаж ограждения</w:t>
            </w:r>
          </w:p>
        </w:tc>
        <w:tc>
          <w:tcPr>
            <w:tcW w:w="1559" w:type="dxa"/>
            <w:vAlign w:val="bottom"/>
          </w:tcPr>
          <w:p w:rsidR="00CB729A" w:rsidRPr="00CB729A" w:rsidRDefault="00CB72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9A">
              <w:rPr>
                <w:rFonts w:ascii="Times New Roman" w:hAnsi="Times New Roman" w:cs="Times New Roman"/>
                <w:color w:val="000000"/>
              </w:rPr>
              <w:t>33 245</w:t>
            </w:r>
          </w:p>
        </w:tc>
      </w:tr>
    </w:tbl>
    <w:p w:rsidR="00F42BD1" w:rsidRPr="003439CE" w:rsidRDefault="00CB729A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Итого:                                           </w:t>
      </w:r>
      <w:r w:rsidR="003439CE" w:rsidRPr="003439CE">
        <w:rPr>
          <w:rFonts w:ascii="Times New Roman" w:eastAsia="Times New Roman" w:hAnsi="Times New Roman" w:cs="Times New Roman"/>
          <w:b/>
          <w:sz w:val="24"/>
          <w:szCs w:val="24"/>
        </w:rPr>
        <w:t>399 220</w:t>
      </w:r>
    </w:p>
    <w:p w:rsidR="00F42BD1" w:rsidRPr="003439CE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625737">
        <w:rPr>
          <w:rFonts w:ascii="Times New Roman" w:eastAsia="Times New Roman" w:hAnsi="Times New Roman" w:cs="Times New Roman"/>
          <w:b/>
          <w:bCs/>
          <w:sz w:val="24"/>
          <w:szCs w:val="27"/>
        </w:rPr>
        <w:t>Финансовый результат</w:t>
      </w:r>
    </w:p>
    <w:p w:rsidR="0042607D" w:rsidRPr="00625737" w:rsidRDefault="0042607D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r>
        <w:rPr>
          <w:rFonts w:ascii="Times New Roman" w:eastAsia="Times New Roman" w:hAnsi="Times New Roman" w:cs="Times New Roman"/>
          <w:sz w:val="24"/>
          <w:szCs w:val="24"/>
        </w:rPr>
        <w:t>данных бухгалтерского учета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 ниже прив</w:t>
      </w:r>
      <w:r>
        <w:rPr>
          <w:rFonts w:ascii="Times New Roman" w:eastAsia="Times New Roman" w:hAnsi="Times New Roman" w:cs="Times New Roman"/>
          <w:sz w:val="24"/>
          <w:szCs w:val="24"/>
        </w:rPr>
        <w:t>едена сводная таблица поступлений и расходов</w:t>
      </w:r>
      <w:r w:rsidR="00426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07D" w:rsidRDefault="0042607D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42BD1" w:rsidTr="004B7C53">
        <w:tc>
          <w:tcPr>
            <w:tcW w:w="9571" w:type="dxa"/>
            <w:gridSpan w:val="3"/>
          </w:tcPr>
          <w:p w:rsidR="00F42BD1" w:rsidRPr="00C37C3D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ПОСТУПЛЕНИЯ ДЕНЕЖНЫХ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Начислено за коммунальные услуги</w:t>
            </w:r>
            <w:r w:rsidR="00CB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жилфонда</w:t>
            </w:r>
          </w:p>
        </w:tc>
        <w:tc>
          <w:tcPr>
            <w:tcW w:w="3191" w:type="dxa"/>
          </w:tcPr>
          <w:p w:rsidR="00F42BD1" w:rsidRDefault="00F42BD1" w:rsidP="00CB72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729A">
              <w:rPr>
                <w:rFonts w:ascii="Times New Roman" w:eastAsia="Times New Roman" w:hAnsi="Times New Roman" w:cs="Times New Roman"/>
                <w:sz w:val="24"/>
                <w:szCs w:val="24"/>
              </w:rPr>
              <w:t>2 831 661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ЖКУ</w:t>
            </w:r>
          </w:p>
        </w:tc>
        <w:tc>
          <w:tcPr>
            <w:tcW w:w="3191" w:type="dxa"/>
          </w:tcPr>
          <w:p w:rsidR="00F42BD1" w:rsidRDefault="0095769C" w:rsidP="00957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94 313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коммерческой деятельности</w:t>
            </w:r>
          </w:p>
        </w:tc>
        <w:tc>
          <w:tcPr>
            <w:tcW w:w="3191" w:type="dxa"/>
          </w:tcPr>
          <w:p w:rsidR="00F42BD1" w:rsidRDefault="00CB729A" w:rsidP="00CB72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1 488 178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:rsidRPr="00B37152" w:rsidTr="004B7C53">
        <w:tc>
          <w:tcPr>
            <w:tcW w:w="6380" w:type="dxa"/>
            <w:gridSpan w:val="2"/>
          </w:tcPr>
          <w:p w:rsidR="00F42BD1" w:rsidRPr="00B37152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РАСПОРЯЖЕНИИ ТСЖ</w:t>
            </w:r>
          </w:p>
        </w:tc>
        <w:tc>
          <w:tcPr>
            <w:tcW w:w="3191" w:type="dxa"/>
          </w:tcPr>
          <w:p w:rsidR="00F42BD1" w:rsidRPr="00B37152" w:rsidRDefault="0095769C" w:rsidP="0095769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24 414 152</w:t>
            </w:r>
          </w:p>
        </w:tc>
      </w:tr>
    </w:tbl>
    <w:p w:rsidR="00F42BD1" w:rsidRPr="00B37152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42BD1" w:rsidRPr="00C37C3D" w:rsidTr="004B7C53">
        <w:tc>
          <w:tcPr>
            <w:tcW w:w="9571" w:type="dxa"/>
            <w:gridSpan w:val="3"/>
          </w:tcPr>
          <w:p w:rsidR="00F42BD1" w:rsidRPr="00C37C3D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ТСЖ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основной деятельности </w:t>
            </w:r>
          </w:p>
        </w:tc>
        <w:tc>
          <w:tcPr>
            <w:tcW w:w="3191" w:type="dxa"/>
          </w:tcPr>
          <w:p w:rsidR="00F42BD1" w:rsidRDefault="00F42BD1" w:rsidP="00957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76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769C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769C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коммерческой деятельности</w:t>
            </w:r>
          </w:p>
        </w:tc>
        <w:tc>
          <w:tcPr>
            <w:tcW w:w="3191" w:type="dxa"/>
          </w:tcPr>
          <w:p w:rsidR="00F42BD1" w:rsidRDefault="0095769C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1 171 159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пени по налогам и сборам</w:t>
            </w:r>
          </w:p>
        </w:tc>
        <w:tc>
          <w:tcPr>
            <w:tcW w:w="3191" w:type="dxa"/>
          </w:tcPr>
          <w:p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6" w:type="dxa"/>
          </w:tcPr>
          <w:p w:rsidR="00F42BD1" w:rsidRPr="008D21F2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1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по коммерческой деятельности</w:t>
            </w:r>
          </w:p>
        </w:tc>
        <w:tc>
          <w:tcPr>
            <w:tcW w:w="3191" w:type="dxa"/>
          </w:tcPr>
          <w:p w:rsidR="00F42BD1" w:rsidRPr="008D21F2" w:rsidRDefault="0095769C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87 878</w:t>
            </w:r>
          </w:p>
        </w:tc>
      </w:tr>
      <w:tr w:rsidR="00F42BD1" w:rsidTr="004B7C53">
        <w:tc>
          <w:tcPr>
            <w:tcW w:w="534" w:type="dxa"/>
          </w:tcPr>
          <w:p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F42BD1" w:rsidRPr="008D21F2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:rsidTr="004B7C53">
        <w:tc>
          <w:tcPr>
            <w:tcW w:w="6380" w:type="dxa"/>
            <w:gridSpan w:val="2"/>
          </w:tcPr>
          <w:p w:rsidR="00F42BD1" w:rsidRPr="00B37152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РАСХОДЫ ТСЖ</w:t>
            </w:r>
          </w:p>
        </w:tc>
        <w:tc>
          <w:tcPr>
            <w:tcW w:w="3191" w:type="dxa"/>
          </w:tcPr>
          <w:p w:rsidR="00F42BD1" w:rsidRPr="000D159D" w:rsidRDefault="000D159D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24 205 363</w:t>
            </w:r>
          </w:p>
        </w:tc>
      </w:tr>
      <w:tr w:rsidR="00F42BD1" w:rsidTr="004B7C53">
        <w:tc>
          <w:tcPr>
            <w:tcW w:w="6380" w:type="dxa"/>
            <w:gridSpan w:val="2"/>
          </w:tcPr>
          <w:p w:rsidR="00F42BD1" w:rsidRPr="00B37152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3191" w:type="dxa"/>
          </w:tcPr>
          <w:p w:rsidR="00F42BD1" w:rsidRPr="00B37152" w:rsidRDefault="000D159D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208 789</w:t>
            </w:r>
          </w:p>
        </w:tc>
      </w:tr>
    </w:tbl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Pr="006B40EF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40EF">
        <w:rPr>
          <w:rFonts w:ascii="Times New Roman" w:eastAsia="Times New Roman" w:hAnsi="Times New Roman" w:cs="Times New Roman"/>
          <w:i/>
          <w:sz w:val="24"/>
          <w:szCs w:val="24"/>
        </w:rPr>
        <w:t>Примечание: * Источники поступления денежных средств отражены без учета поступлений на капитальный ремонт.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Взносы на капитальный ремонт накапливаются на специальном счете и не могут  использоваться на другие цели.</w:t>
      </w:r>
    </w:p>
    <w:p w:rsidR="00F42BD1" w:rsidRPr="00F73A36" w:rsidRDefault="00F42BD1" w:rsidP="00F42BD1">
      <w:pPr>
        <w:keepNext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По итогам деятельности ТСЖ за 20</w:t>
      </w:r>
      <w:r w:rsidR="0034438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прибыль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59D">
        <w:rPr>
          <w:rFonts w:ascii="Times New Roman" w:eastAsia="Times New Roman" w:hAnsi="Times New Roman" w:cs="Times New Roman"/>
          <w:sz w:val="24"/>
          <w:szCs w:val="24"/>
        </w:rPr>
        <w:t>208 789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D1" w:rsidRPr="009525E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Важно понимать, что это не является финансовым результатом ТСЖ «Светлое», а характеризует свод всех денежных потоков, оставшихся в распоряжении ТСЖ «Светлое».</w:t>
      </w:r>
    </w:p>
    <w:p w:rsidR="0042607D" w:rsidRDefault="0042607D" w:rsidP="00F42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D1" w:rsidRDefault="00F42BD1" w:rsidP="00F42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42607D" w:rsidRDefault="0042607D" w:rsidP="00F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BD1" w:rsidRPr="006B40EF" w:rsidRDefault="00F42BD1" w:rsidP="003E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331" w:rsidRDefault="00F42BD1" w:rsidP="003E39F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Используя материалы бухгалтерского учета, проведен всесторонний анализ финансово-хозяйственная деятельность ТСЖ «Светлое» за отчетный период.</w:t>
      </w:r>
    </w:p>
    <w:p w:rsidR="00F42BD1" w:rsidRDefault="00F42BD1" w:rsidP="003E39F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 20</w:t>
      </w:r>
      <w:r w:rsidR="000D14C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6B40EF">
        <w:rPr>
          <w:rFonts w:ascii="Times New Roman" w:eastAsia="Times New Roman" w:hAnsi="Times New Roman" w:cs="Times New Roman"/>
          <w:sz w:val="24"/>
          <w:szCs w:val="24"/>
        </w:rPr>
        <w:t>деятельность ТСЖ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 прибыльная.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D1" w:rsidRDefault="00F42BD1" w:rsidP="003E39F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положительной динамики деятельности:</w:t>
      </w:r>
    </w:p>
    <w:p w:rsidR="00F42BD1" w:rsidRDefault="00F42BD1" w:rsidP="003E39F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проведение  своевременных планово-предупредительных работ  снижающих  аварийные ситуации;</w:t>
      </w:r>
    </w:p>
    <w:p w:rsidR="00F42BD1" w:rsidRPr="00D00B16" w:rsidRDefault="00F42BD1" w:rsidP="003E39F8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B16">
        <w:rPr>
          <w:rFonts w:ascii="Times New Roman" w:eastAsia="Times New Roman" w:hAnsi="Times New Roman" w:cs="Times New Roman"/>
          <w:sz w:val="24"/>
          <w:szCs w:val="24"/>
        </w:rPr>
        <w:t>Работа ТСЖ по взысканию задолженности за коммунальные услуги с должников     ведется регулярно.</w:t>
      </w:r>
    </w:p>
    <w:p w:rsidR="00F42BD1" w:rsidRDefault="00F42BD1" w:rsidP="003E39F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Просроченная задолженность (более 1 месяца) по состоянию на 01.01.2</w:t>
      </w:r>
      <w:r w:rsidR="00F663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составляет </w:t>
      </w:r>
      <w:r w:rsidR="006F4356" w:rsidRPr="006F4356">
        <w:rPr>
          <w:rFonts w:ascii="Arial" w:eastAsia="Times New Roman" w:hAnsi="Arial" w:cs="Arial"/>
          <w:bCs/>
          <w:sz w:val="20"/>
          <w:szCs w:val="20"/>
        </w:rPr>
        <w:t>1</w:t>
      </w:r>
      <w:r w:rsidR="006F4356">
        <w:rPr>
          <w:rFonts w:ascii="Arial" w:eastAsia="Times New Roman" w:hAnsi="Arial" w:cs="Arial"/>
          <w:bCs/>
          <w:sz w:val="20"/>
          <w:szCs w:val="20"/>
        </w:rPr>
        <w:t> </w:t>
      </w:r>
      <w:r w:rsidR="006F4356" w:rsidRPr="006F4356">
        <w:rPr>
          <w:rFonts w:ascii="Arial" w:eastAsia="Times New Roman" w:hAnsi="Arial" w:cs="Arial"/>
          <w:bCs/>
          <w:sz w:val="20"/>
          <w:szCs w:val="20"/>
        </w:rPr>
        <w:t>210</w:t>
      </w:r>
      <w:r w:rsidR="006F4356">
        <w:rPr>
          <w:rFonts w:ascii="Arial" w:eastAsia="Times New Roman" w:hAnsi="Arial" w:cs="Arial"/>
          <w:bCs/>
          <w:sz w:val="20"/>
          <w:szCs w:val="20"/>
        </w:rPr>
        <w:t> </w:t>
      </w:r>
      <w:r w:rsidR="006F4356" w:rsidRPr="006F4356">
        <w:rPr>
          <w:rFonts w:ascii="Arial" w:eastAsia="Times New Roman" w:hAnsi="Arial" w:cs="Arial"/>
          <w:bCs/>
          <w:sz w:val="20"/>
          <w:szCs w:val="20"/>
        </w:rPr>
        <w:t>26</w:t>
      </w:r>
      <w:r w:rsidR="006F4356">
        <w:rPr>
          <w:rFonts w:ascii="Arial" w:eastAsia="Times New Roman" w:hAnsi="Arial" w:cs="Arial"/>
          <w:bCs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 Из нее доля неплательщиков </w:t>
      </w:r>
      <w:r w:rsidR="006F435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6% - собственники жилых помещений, </w:t>
      </w:r>
      <w:r w:rsidR="006F43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4% - собственники офисных помещений. Долг злостных неплательщиков (более </w:t>
      </w:r>
      <w:r w:rsidR="0064518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месяцев) составляет </w:t>
      </w:r>
      <w:r w:rsidR="006F4356">
        <w:rPr>
          <w:rFonts w:ascii="Times New Roman" w:eastAsia="Times New Roman" w:hAnsi="Times New Roman" w:cs="Times New Roman"/>
          <w:sz w:val="24"/>
          <w:szCs w:val="24"/>
        </w:rPr>
        <w:t>791 481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:rsidR="00DD0331" w:rsidRDefault="00DD0331" w:rsidP="003E39F8">
      <w:pPr>
        <w:pStyle w:val="1"/>
        <w:numPr>
          <w:ilvl w:val="0"/>
          <w:numId w:val="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     3.</w:t>
      </w:r>
      <w:r w:rsidRPr="008B1FCC">
        <w:rPr>
          <w:b w:val="0"/>
          <w:sz w:val="24"/>
        </w:rPr>
        <w:t xml:space="preserve">Своевременно производить контроль показаний индивидуальных приборов учёта </w:t>
      </w:r>
      <w:r>
        <w:rPr>
          <w:b w:val="0"/>
          <w:sz w:val="24"/>
        </w:rPr>
        <w:t xml:space="preserve">         </w:t>
      </w:r>
      <w:r w:rsidRPr="008B1FCC">
        <w:rPr>
          <w:b w:val="0"/>
          <w:sz w:val="24"/>
        </w:rPr>
        <w:t xml:space="preserve">электроэнергии, теплоэнергии, ХВС и ГВС в целях полного возмещения коммунальных услуг. Особое внимание обратить внимание на квартиры собственников, где фиксируется крайне малый расход теплоэнергии. </w:t>
      </w:r>
    </w:p>
    <w:p w:rsidR="00DD0331" w:rsidRPr="00EF4A98" w:rsidRDefault="00DD0331" w:rsidP="003E39F8">
      <w:pPr>
        <w:pStyle w:val="1"/>
        <w:numPr>
          <w:ilvl w:val="0"/>
          <w:numId w:val="21"/>
        </w:numPr>
        <w:jc w:val="both"/>
        <w:rPr>
          <w:b w:val="0"/>
          <w:sz w:val="24"/>
        </w:rPr>
      </w:pPr>
      <w:r w:rsidRPr="00EF4A98">
        <w:rPr>
          <w:b w:val="0"/>
          <w:sz w:val="24"/>
        </w:rPr>
        <w:t xml:space="preserve">Предлагаю Общему собранию </w:t>
      </w:r>
      <w:r>
        <w:rPr>
          <w:b w:val="0"/>
          <w:sz w:val="24"/>
        </w:rPr>
        <w:t xml:space="preserve">членов </w:t>
      </w:r>
      <w:r w:rsidRPr="00EF4A98">
        <w:rPr>
          <w:b w:val="0"/>
          <w:sz w:val="24"/>
        </w:rPr>
        <w:t>ТСЖ считать работу ТСЖ в 2020 г. в части финансово-хозяйственной деятельности удовлетворительной, с условием не допускать убыточной деятельности в 2021г.</w:t>
      </w:r>
    </w:p>
    <w:p w:rsidR="00DD0331" w:rsidRDefault="00DD0331" w:rsidP="003E39F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D93" w:rsidRDefault="00491D93" w:rsidP="00491D93">
      <w:pPr>
        <w:pStyle w:val="a6"/>
      </w:pPr>
      <w:r>
        <w:t xml:space="preserve">                                                              ______________________ </w:t>
      </w:r>
      <w:proofErr w:type="spellStart"/>
      <w:r>
        <w:t>Артамошина</w:t>
      </w:r>
      <w:proofErr w:type="spellEnd"/>
      <w:r>
        <w:t xml:space="preserve"> И. В.                                                                                                            15 марта 2021г.</w:t>
      </w:r>
    </w:p>
    <w:p w:rsidR="00491D93" w:rsidRDefault="00491D93" w:rsidP="00491D93">
      <w:pPr>
        <w:pStyle w:val="a6"/>
      </w:pPr>
    </w:p>
    <w:p w:rsidR="00491D93" w:rsidRPr="00D0247D" w:rsidRDefault="00491D93" w:rsidP="00491D93">
      <w:pPr>
        <w:pStyle w:val="a6"/>
      </w:pPr>
    </w:p>
    <w:p w:rsidR="00F42BD1" w:rsidRPr="00673455" w:rsidRDefault="00F42BD1" w:rsidP="00DD033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F8A" w:rsidRPr="00D0247D" w:rsidRDefault="00771F8A" w:rsidP="001D6A1E">
      <w:pPr>
        <w:pStyle w:val="a6"/>
      </w:pPr>
    </w:p>
    <w:p w:rsidR="00491D93" w:rsidRPr="00D0247D" w:rsidRDefault="00491D93" w:rsidP="00491D93">
      <w:pPr>
        <w:pStyle w:val="a6"/>
      </w:pPr>
    </w:p>
    <w:p w:rsidR="00771F8A" w:rsidRPr="00D0247D" w:rsidRDefault="00771F8A" w:rsidP="001D6A1E">
      <w:pPr>
        <w:pStyle w:val="a6"/>
      </w:pPr>
    </w:p>
    <w:sectPr w:rsidR="00771F8A" w:rsidRPr="00D0247D" w:rsidSect="005D0E3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39" w:rsidRDefault="006D5A39" w:rsidP="00F14637">
      <w:pPr>
        <w:spacing w:after="0" w:line="240" w:lineRule="auto"/>
      </w:pPr>
      <w:r>
        <w:separator/>
      </w:r>
    </w:p>
  </w:endnote>
  <w:endnote w:type="continuationSeparator" w:id="0">
    <w:p w:rsidR="006D5A39" w:rsidRDefault="006D5A39" w:rsidP="00F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824587"/>
      <w:docPartObj>
        <w:docPartGallery w:val="Page Numbers (Bottom of Page)"/>
        <w:docPartUnique/>
      </w:docPartObj>
    </w:sdtPr>
    <w:sdtContent>
      <w:p w:rsidR="00627685" w:rsidRDefault="006276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05D">
          <w:rPr>
            <w:noProof/>
          </w:rPr>
          <w:t>6</w:t>
        </w:r>
        <w:r>
          <w:fldChar w:fldCharType="end"/>
        </w:r>
      </w:p>
    </w:sdtContent>
  </w:sdt>
  <w:p w:rsidR="00627685" w:rsidRDefault="006276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39" w:rsidRDefault="006D5A39" w:rsidP="00F14637">
      <w:pPr>
        <w:spacing w:after="0" w:line="240" w:lineRule="auto"/>
      </w:pPr>
      <w:r>
        <w:separator/>
      </w:r>
    </w:p>
  </w:footnote>
  <w:footnote w:type="continuationSeparator" w:id="0">
    <w:p w:rsidR="006D5A39" w:rsidRDefault="006D5A39" w:rsidP="00F1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85" w:rsidRDefault="00627685" w:rsidP="0001705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0A6"/>
    <w:multiLevelType w:val="hybridMultilevel"/>
    <w:tmpl w:val="C7046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61921"/>
    <w:multiLevelType w:val="hybridMultilevel"/>
    <w:tmpl w:val="5E9CF002"/>
    <w:lvl w:ilvl="0" w:tplc="E6BE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5AE"/>
    <w:multiLevelType w:val="hybridMultilevel"/>
    <w:tmpl w:val="EFCA9B50"/>
    <w:lvl w:ilvl="0" w:tplc="D2A6DEE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41D57E9"/>
    <w:multiLevelType w:val="hybridMultilevel"/>
    <w:tmpl w:val="74B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6AAA"/>
    <w:multiLevelType w:val="hybridMultilevel"/>
    <w:tmpl w:val="A6441C3C"/>
    <w:lvl w:ilvl="0" w:tplc="84BA3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F41"/>
    <w:multiLevelType w:val="hybridMultilevel"/>
    <w:tmpl w:val="1D8AA446"/>
    <w:lvl w:ilvl="0" w:tplc="F96C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93C47"/>
    <w:multiLevelType w:val="hybridMultilevel"/>
    <w:tmpl w:val="7F9868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53D7D"/>
    <w:multiLevelType w:val="multilevel"/>
    <w:tmpl w:val="56C8B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37D7463"/>
    <w:multiLevelType w:val="hybridMultilevel"/>
    <w:tmpl w:val="81B45FA8"/>
    <w:lvl w:ilvl="0" w:tplc="39F0093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2032F7"/>
    <w:multiLevelType w:val="hybridMultilevel"/>
    <w:tmpl w:val="CA58240C"/>
    <w:lvl w:ilvl="0" w:tplc="ECF89C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FD6C1C"/>
    <w:multiLevelType w:val="hybridMultilevel"/>
    <w:tmpl w:val="1AA0F6C4"/>
    <w:lvl w:ilvl="0" w:tplc="5B54041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8970B97"/>
    <w:multiLevelType w:val="hybridMultilevel"/>
    <w:tmpl w:val="B48867BA"/>
    <w:lvl w:ilvl="0" w:tplc="EB4C8B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9B592E"/>
    <w:multiLevelType w:val="hybridMultilevel"/>
    <w:tmpl w:val="0D745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44AE5"/>
    <w:multiLevelType w:val="hybridMultilevel"/>
    <w:tmpl w:val="733C58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C4865"/>
    <w:multiLevelType w:val="multilevel"/>
    <w:tmpl w:val="8CF879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9505F17"/>
    <w:multiLevelType w:val="hybridMultilevel"/>
    <w:tmpl w:val="1F5C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E1F52"/>
    <w:multiLevelType w:val="hybridMultilevel"/>
    <w:tmpl w:val="834E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64B93"/>
    <w:multiLevelType w:val="hybridMultilevel"/>
    <w:tmpl w:val="34B09F06"/>
    <w:lvl w:ilvl="0" w:tplc="A6CE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201A98"/>
    <w:multiLevelType w:val="hybridMultilevel"/>
    <w:tmpl w:val="2D187C44"/>
    <w:lvl w:ilvl="0" w:tplc="AD16960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1"/>
  </w:num>
  <w:num w:numId="5">
    <w:abstractNumId w:val="5"/>
  </w:num>
  <w:num w:numId="6">
    <w:abstractNumId w:val="1"/>
  </w:num>
  <w:num w:numId="7">
    <w:abstractNumId w:val="14"/>
  </w:num>
  <w:num w:numId="8">
    <w:abstractNumId w:val="12"/>
  </w:num>
  <w:num w:numId="9">
    <w:abstractNumId w:val="17"/>
  </w:num>
  <w:num w:numId="10">
    <w:abstractNumId w:val="4"/>
  </w:num>
  <w:num w:numId="11">
    <w:abstractNumId w:val="0"/>
  </w:num>
  <w:num w:numId="12">
    <w:abstractNumId w:val="18"/>
  </w:num>
  <w:num w:numId="13">
    <w:abstractNumId w:val="3"/>
  </w:num>
  <w:num w:numId="14">
    <w:abstractNumId w:val="6"/>
  </w:num>
  <w:num w:numId="15">
    <w:abstractNumId w:val="2"/>
  </w:num>
  <w:num w:numId="16">
    <w:abstractNumId w:val="9"/>
  </w:num>
  <w:num w:numId="17">
    <w:abstractNumId w:val="13"/>
  </w:num>
  <w:num w:numId="18">
    <w:abstractNumId w:val="19"/>
  </w:num>
  <w:num w:numId="19">
    <w:abstractNumId w:val="8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4F0"/>
    <w:rsid w:val="00011972"/>
    <w:rsid w:val="0001705D"/>
    <w:rsid w:val="00046E0A"/>
    <w:rsid w:val="00053EDD"/>
    <w:rsid w:val="00083353"/>
    <w:rsid w:val="000875F1"/>
    <w:rsid w:val="000B6834"/>
    <w:rsid w:val="000C4B49"/>
    <w:rsid w:val="000D14CE"/>
    <w:rsid w:val="000D159D"/>
    <w:rsid w:val="000F4AE0"/>
    <w:rsid w:val="00107583"/>
    <w:rsid w:val="0012767E"/>
    <w:rsid w:val="00152476"/>
    <w:rsid w:val="001625D5"/>
    <w:rsid w:val="001978EA"/>
    <w:rsid w:val="00197D0C"/>
    <w:rsid w:val="001B0D75"/>
    <w:rsid w:val="001B5336"/>
    <w:rsid w:val="001C74E7"/>
    <w:rsid w:val="001D6A1E"/>
    <w:rsid w:val="001E4C49"/>
    <w:rsid w:val="001F18AE"/>
    <w:rsid w:val="001F353B"/>
    <w:rsid w:val="001F63B4"/>
    <w:rsid w:val="00227E9E"/>
    <w:rsid w:val="00280F33"/>
    <w:rsid w:val="00290753"/>
    <w:rsid w:val="00294C97"/>
    <w:rsid w:val="002D40F5"/>
    <w:rsid w:val="002E52B8"/>
    <w:rsid w:val="002E6BD2"/>
    <w:rsid w:val="002F4903"/>
    <w:rsid w:val="0032171F"/>
    <w:rsid w:val="00333BCD"/>
    <w:rsid w:val="00340BA7"/>
    <w:rsid w:val="003439CE"/>
    <w:rsid w:val="00344389"/>
    <w:rsid w:val="003624D2"/>
    <w:rsid w:val="003B06C4"/>
    <w:rsid w:val="003C0D71"/>
    <w:rsid w:val="003E39F8"/>
    <w:rsid w:val="00404D78"/>
    <w:rsid w:val="00406008"/>
    <w:rsid w:val="00420B97"/>
    <w:rsid w:val="0042607D"/>
    <w:rsid w:val="00436EE0"/>
    <w:rsid w:val="0045456F"/>
    <w:rsid w:val="00464B09"/>
    <w:rsid w:val="00476E88"/>
    <w:rsid w:val="00491D93"/>
    <w:rsid w:val="004C3A16"/>
    <w:rsid w:val="00521F0C"/>
    <w:rsid w:val="00580076"/>
    <w:rsid w:val="005D0E3C"/>
    <w:rsid w:val="00627685"/>
    <w:rsid w:val="0064518D"/>
    <w:rsid w:val="00650430"/>
    <w:rsid w:val="006744F0"/>
    <w:rsid w:val="006D5A39"/>
    <w:rsid w:val="006F4356"/>
    <w:rsid w:val="00753387"/>
    <w:rsid w:val="00766137"/>
    <w:rsid w:val="00771F8A"/>
    <w:rsid w:val="0079340A"/>
    <w:rsid w:val="00793FB6"/>
    <w:rsid w:val="007951B6"/>
    <w:rsid w:val="007B2019"/>
    <w:rsid w:val="007D375E"/>
    <w:rsid w:val="007D4758"/>
    <w:rsid w:val="007E2D5D"/>
    <w:rsid w:val="00815D43"/>
    <w:rsid w:val="008276C9"/>
    <w:rsid w:val="00834696"/>
    <w:rsid w:val="008A0CE7"/>
    <w:rsid w:val="008B5B14"/>
    <w:rsid w:val="008D04A8"/>
    <w:rsid w:val="009024C5"/>
    <w:rsid w:val="00931FA5"/>
    <w:rsid w:val="00936176"/>
    <w:rsid w:val="009400E6"/>
    <w:rsid w:val="0095769C"/>
    <w:rsid w:val="00986007"/>
    <w:rsid w:val="0099716A"/>
    <w:rsid w:val="009B28BB"/>
    <w:rsid w:val="009C0216"/>
    <w:rsid w:val="009C4B45"/>
    <w:rsid w:val="009F245C"/>
    <w:rsid w:val="009F76FC"/>
    <w:rsid w:val="00A22B4B"/>
    <w:rsid w:val="00A3140D"/>
    <w:rsid w:val="00A548D9"/>
    <w:rsid w:val="00A70DCD"/>
    <w:rsid w:val="00AB44A5"/>
    <w:rsid w:val="00AF4567"/>
    <w:rsid w:val="00AF6146"/>
    <w:rsid w:val="00B034DB"/>
    <w:rsid w:val="00B14905"/>
    <w:rsid w:val="00B201F7"/>
    <w:rsid w:val="00B27A24"/>
    <w:rsid w:val="00B37A63"/>
    <w:rsid w:val="00B45B94"/>
    <w:rsid w:val="00B807AD"/>
    <w:rsid w:val="00B97856"/>
    <w:rsid w:val="00BA1C95"/>
    <w:rsid w:val="00BB6128"/>
    <w:rsid w:val="00BD6DF9"/>
    <w:rsid w:val="00C3599C"/>
    <w:rsid w:val="00C8383B"/>
    <w:rsid w:val="00CA3D22"/>
    <w:rsid w:val="00CA522B"/>
    <w:rsid w:val="00CB729A"/>
    <w:rsid w:val="00CF4036"/>
    <w:rsid w:val="00D00B16"/>
    <w:rsid w:val="00D0247D"/>
    <w:rsid w:val="00D035B4"/>
    <w:rsid w:val="00D03FCD"/>
    <w:rsid w:val="00D25089"/>
    <w:rsid w:val="00D2751D"/>
    <w:rsid w:val="00D377F7"/>
    <w:rsid w:val="00D77796"/>
    <w:rsid w:val="00D928BB"/>
    <w:rsid w:val="00DC015F"/>
    <w:rsid w:val="00DC5967"/>
    <w:rsid w:val="00DD0331"/>
    <w:rsid w:val="00DF551F"/>
    <w:rsid w:val="00E30BDA"/>
    <w:rsid w:val="00E42DFF"/>
    <w:rsid w:val="00E54D69"/>
    <w:rsid w:val="00E62B5D"/>
    <w:rsid w:val="00EA7549"/>
    <w:rsid w:val="00ED21E9"/>
    <w:rsid w:val="00ED7C68"/>
    <w:rsid w:val="00EE6193"/>
    <w:rsid w:val="00F02202"/>
    <w:rsid w:val="00F14637"/>
    <w:rsid w:val="00F24565"/>
    <w:rsid w:val="00F250E8"/>
    <w:rsid w:val="00F42BD1"/>
    <w:rsid w:val="00F46495"/>
    <w:rsid w:val="00F61763"/>
    <w:rsid w:val="00F6638C"/>
    <w:rsid w:val="00F718E7"/>
    <w:rsid w:val="00F81923"/>
    <w:rsid w:val="00FB19AD"/>
    <w:rsid w:val="00FD1265"/>
    <w:rsid w:val="00FD2A6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93A4D-DED5-40AB-87E1-40B7A922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44F0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718E7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F718E7"/>
    <w:pPr>
      <w:keepNext/>
      <w:numPr>
        <w:ilvl w:val="1"/>
        <w:numId w:val="1"/>
      </w:numPr>
      <w:tabs>
        <w:tab w:val="left" w:pos="993"/>
      </w:tabs>
      <w:spacing w:before="240" w:after="120" w:line="240" w:lineRule="auto"/>
      <w:ind w:left="993" w:hanging="636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0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744F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6744F0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6744F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0"/>
    <w:uiPriority w:val="34"/>
    <w:qFormat/>
    <w:rsid w:val="00F718E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718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718E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6">
    <w:name w:val="Тест"/>
    <w:qFormat/>
    <w:rsid w:val="00F71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F1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14637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F1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14637"/>
    <w:rPr>
      <w:rFonts w:eastAsiaTheme="minorEastAsia"/>
      <w:lang w:eastAsia="ru-RU"/>
    </w:rPr>
  </w:style>
  <w:style w:type="paragraph" w:customStyle="1" w:styleId="a">
    <w:name w:val="Перечень"/>
    <w:qFormat/>
    <w:rsid w:val="00D7779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ключение"/>
    <w:next w:val="ac"/>
    <w:qFormat/>
    <w:rsid w:val="00D77796"/>
    <w:pPr>
      <w:keepNext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semiHidden/>
    <w:unhideWhenUsed/>
    <w:rsid w:val="00D777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semiHidden/>
    <w:rsid w:val="00D77796"/>
    <w:rPr>
      <w:rFonts w:ascii="Consolas" w:eastAsiaTheme="minorEastAsia" w:hAnsi="Consolas"/>
      <w:sz w:val="21"/>
      <w:szCs w:val="21"/>
      <w:lang w:eastAsia="ru-RU"/>
    </w:rPr>
  </w:style>
  <w:style w:type="paragraph" w:customStyle="1" w:styleId="ae">
    <w:name w:val="Текст таблицы"/>
    <w:qFormat/>
    <w:rsid w:val="003B06C4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20B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">
    <w:name w:val="Table Grid"/>
    <w:basedOn w:val="a2"/>
    <w:uiPriority w:val="59"/>
    <w:rsid w:val="00420B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Светлое ТСЖ</cp:lastModifiedBy>
  <cp:revision>69</cp:revision>
  <cp:lastPrinted>2021-03-22T16:50:00Z</cp:lastPrinted>
  <dcterms:created xsi:type="dcterms:W3CDTF">2020-02-26T12:29:00Z</dcterms:created>
  <dcterms:modified xsi:type="dcterms:W3CDTF">2021-03-31T09:41:00Z</dcterms:modified>
</cp:coreProperties>
</file>